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>
  <w:body>
    <w:p>
      <w:pPr>
        <w:pStyle w:val="FirstParagraph"/>
      </w:pPr>
      <w:r>
        <w:t xml:space="preserve">DPIA — Shyware SDK: Structural Non-Representability for Behavioral</w:t>
      </w:r>
      <w:r>
        <w:t xml:space="preserve"> </w:t>
      </w:r>
      <w:r>
        <w:t xml:space="preserve">Analytics</w:t>
      </w:r>
    </w:p>
    <w:p>
      <w:r>
        <w:pict>
          <v:rect style="width:0;height:1.5pt" o:hralign="center" o:hrstd="t" o:hr="t"/>
        </w:pict>
      </w:r>
    </w:p>
    <w:bookmarkStart w:id="23" w:name="overview-of-the-processing"/>
    <w:p>
      <w:pPr>
        <w:pStyle w:val="Heading2"/>
      </w:pPr>
      <w:r>
        <w:t xml:space="preserve">OVERVIEW OF THE</w:t>
      </w:r>
      <w:r>
        <w:t xml:space="preserve"> </w:t>
      </w:r>
      <w:r>
        <w:t xml:space="preserve">PROCESSING</w:t>
      </w:r>
    </w:p>
    <w:bookmarkStart w:id="18" w:name="controllers"/>
    <w:p>
      <w:pPr>
        <w:pStyle w:val="Heading3"/>
      </w:pPr>
      <w:r>
        <w:t xml:space="preserve">Controller(s)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Analytics vendor controller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Management units responsible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Product Engineering; Legal / Compliance;</w:t>
            </w:r>
            <w:r>
              <w:t xml:space="preserve"> </w:t>
            </w:r>
            <w:r>
              <w:t xml:space="preserve">Data Protection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Main establishment / point of contact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EU main establishment / point of</w:t>
            </w:r>
            <w:r>
              <w:t xml:space="preserve"> </w:t>
            </w:r>
            <w:r>
              <w:t xml:space="preserve">contact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DPO or similar function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DPO or privacy contact</w:t>
            </w:r>
          </w:p>
        </w:tc>
      </w:tr>
    </w:tbl>
    <w:bookmarkEnd w:id="18"/>
    <w:bookmarkStart w:id="19" w:name="processors-and-sub-processors"/>
    <w:p>
      <w:pPr>
        <w:pStyle w:val="Heading3"/>
      </w:pPr>
      <w:r>
        <w:t xml:space="preserve">Processor(s) and</w:t>
      </w:r>
      <w:r>
        <w:t xml:space="preserve"> </w:t>
      </w:r>
      <w:r>
        <w:t xml:space="preserve">Sub-processor(s)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49"/>
        <w:gridCol w:w="3744"/>
        <w:gridCol w:w="4867"/>
      </w:tblGrid>
      <w:tr>
        <w:trPr>
          <w:tblHeader w:val="on"/>
        </w:trP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Processor</w:t>
            </w:r>
          </w:p>
        </w:tc>
        <w:tc>
          <w:tcPr>
            <w:tcW w:type="pct" w:w="2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Obligations and Tasks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co-mission LLC (Shyware SDK licensor)</w:t>
            </w:r>
          </w:p>
        </w:tc>
        <w:tc>
          <w:tcPr>
            <w:tcW w:type="pct" w:w="2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Provides SDK and related</w:t>
            </w:r>
            <w:r>
              <w:t xml:space="preserve"> </w:t>
            </w:r>
            <w:r>
              <w:t xml:space="preserve">hosted processor services under the customer’s documented instructions;</w:t>
            </w:r>
            <w:r>
              <w:t xml:space="preserve"> </w:t>
            </w:r>
            <w:r>
              <w:t xml:space="preserve">processes customer user data under the Shyware DPA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EU-region cloud infrastructure provider</w:t>
            </w:r>
          </w:p>
        </w:tc>
        <w:tc>
          <w:tcPr>
            <w:tcW w:type="pct" w:w="2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Hosts canonical ledger</w:t>
            </w:r>
            <w:r>
              <w:t xml:space="preserve"> </w:t>
            </w:r>
            <w:r>
              <w:t xml:space="preserve">nodes and off-chain reconciling store; processes personal data under</w:t>
            </w:r>
            <w:r>
              <w:t xml:space="preserve"> </w:t>
            </w:r>
            <w:r>
              <w:t xml:space="preserve">controller’s instructions per Article 28 DPA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 provider</w:t>
            </w:r>
          </w:p>
        </w:tc>
        <w:tc>
          <w:tcPr>
            <w:tcW w:type="pct" w:w="2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Biometric identity verification for</w:t>
            </w:r>
            <w:r>
              <w:t xml:space="preserve"> </w:t>
            </w:r>
            <w:r>
              <w:t xml:space="preserve">user-authenticated reconciling requests only; no access to behavioral</w:t>
            </w:r>
            <w:r>
              <w:t xml:space="preserve"> </w:t>
            </w:r>
            <w:r>
              <w:t xml:space="preserve">payload or canonical ledger state</w:t>
            </w:r>
          </w:p>
        </w:tc>
      </w:tr>
    </w:tbl>
    <w:bookmarkEnd w:id="19"/>
    <w:bookmarkStart w:id="20" w:name="name-of-the-processing"/>
    <w:p>
      <w:pPr>
        <w:pStyle w:val="Heading3"/>
      </w:pPr>
      <w:r>
        <w:t xml:space="preserve">Name of the Processing</w:t>
      </w:r>
    </w:p>
    <w:p>
      <w:pPr>
        <w:pStyle w:val="FirstParagraph"/>
      </w:pPr>
      <w:r>
        <w:rPr>
          <w:b/>
          <w:bCs/>
        </w:rPr>
        <w:t xml:space="preserve">Internal name:</w:t>
      </w:r>
      <w:r>
        <w:t xml:space="preserve"> </w:t>
      </w:r>
      <w:r>
        <w:t xml:space="preserve">Shyware-SDK-Integrated Behavioral Analytics</w:t>
      </w:r>
    </w:p>
    <w:p>
      <w:pPr>
        <w:pStyle w:val="BodyText"/>
      </w:pPr>
      <w:r>
        <w:rPr>
          <w:b/>
          <w:bCs/>
        </w:rPr>
        <w:t xml:space="preserve">Record of processing activities reference:</w:t>
      </w:r>
    </w:p>
    <w:bookmarkEnd w:id="20"/>
    <w:bookmarkStart w:id="21" w:name="planning-of-the-processing"/>
    <w:p>
      <w:pPr>
        <w:pStyle w:val="Heading3"/>
      </w:pPr>
      <w:r>
        <w:t xml:space="preserve">Planning of the</w:t>
      </w:r>
      <w:r>
        <w:t xml:space="preserve"> </w:t>
      </w:r>
      <w:r>
        <w:t xml:space="preserve">Processing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Estimated launch date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Estimated end date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Ongoing — subject to annual DPIA review or</w:t>
            </w:r>
            <w:r>
              <w:t xml:space="preserve"> </w:t>
            </w:r>
            <w:r>
              <w:t xml:space="preserve">material architecture change</w:t>
            </w:r>
          </w:p>
        </w:tc>
      </w:tr>
    </w:tbl>
    <w:bookmarkEnd w:id="21"/>
    <w:bookmarkStart w:id="22" w:name="dpia-technical-sheet"/>
    <w:p>
      <w:pPr>
        <w:pStyle w:val="Heading3"/>
      </w:pPr>
      <w:r>
        <w:t xml:space="preserve">DPIA Technical Sheet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Current version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Team involved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DPO; Product Engineering Lead; Privacy Counsel; External</w:t>
            </w:r>
            <w:r>
              <w:t xml:space="preserve"> </w:t>
            </w:r>
            <w:r>
              <w:t xml:space="preserve">privacy counsel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Reference materials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EDPB DPIA Template v1.0 (March 2026); Austrian DSB</w:t>
            </w:r>
            <w:r>
              <w:t xml:space="preserve"> </w:t>
            </w:r>
            <w:r>
              <w:t xml:space="preserve">Decision D155.027 (Jan 2022) — Google Analytics; German Standard Data</w:t>
            </w:r>
            <w:r>
              <w:t xml:space="preserve"> </w:t>
            </w:r>
            <w:r>
              <w:t xml:space="preserve">Protection Model (SDM) v3.1 — unlinkability protection goal; EDPB</w:t>
            </w:r>
            <w:r>
              <w:t xml:space="preserve"> </w:t>
            </w:r>
            <w:r>
              <w:t xml:space="preserve">Guidelines 02/2024 on Article 48 GDPR; BfDI Technical Guidance on</w:t>
            </w:r>
            <w:r>
              <w:t xml:space="preserve"> </w:t>
            </w:r>
            <w:r>
              <w:t xml:space="preserve">Unlinkability (June 2025); LinkedIn behavioral analytics fine — IE DPA</w:t>
            </w:r>
            <w:r>
              <w:t xml:space="preserve"> </w:t>
            </w:r>
            <w:r>
              <w:t xml:space="preserve">(Oct 2024, €310M)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Reason to conduct DPIA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New processing activity — high risk under</w:t>
            </w:r>
            <w:r>
              <w:t xml:space="preserve"> </w:t>
            </w:r>
            <w:r>
              <w:t xml:space="preserve">Article 35(3)(a) GDPR (systematic and extensive evaluation of personal</w:t>
            </w:r>
            <w:r>
              <w:t xml:space="preserve"> </w:t>
            </w:r>
            <w:r>
              <w:t xml:space="preserve">aspects via automated processing, at scale); innovative architectural</w:t>
            </w:r>
            <w:r>
              <w:t xml:space="preserve"> </w:t>
            </w:r>
            <w:r>
              <w:t xml:space="preserve">approach (Art. 35(1)); EDPB and national DPA guidance targets behavioral</w:t>
            </w:r>
            <w:r>
              <w:t xml:space="preserve"> </w:t>
            </w:r>
            <w:r>
              <w:t xml:space="preserve">analytics (SDM unlinkability benchmark)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Full DPIA covering behavioral analytics processing under Shyware</w:t>
            </w:r>
            <w:r>
              <w:t xml:space="preserve"> </w:t>
            </w:r>
            <w:r>
              <w:t xml:space="preserve">SDK integration by the controller. Legacy analytics architecture is</w:t>
            </w:r>
            <w:r>
              <w:t xml:space="preserve"> </w:t>
            </w:r>
            <w:r>
              <w:t xml:space="preserve">outside this assessment.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Formal validation date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Publication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Internal DPIA record. External sharing is limited to</w:t>
            </w:r>
            <w:r>
              <w:t xml:space="preserve"> </w:t>
            </w:r>
            <w:r>
              <w:t xml:space="preserve">parties with a documented need to know.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0" w:name="systematic-description-of-the-processing"/>
    <w:p>
      <w:pPr>
        <w:numPr>
          <w:ilvl w:val="0"/>
          <w:numId w:val="1001"/>
        </w:numPr>
        <w:pStyle w:val="Heading2"/>
      </w:pPr>
      <w:r>
        <w:t xml:space="preserve">SYSTEMATIC DESCRIPTION OF THE</w:t>
      </w:r>
      <w:r>
        <w:t xml:space="preserve"> </w:t>
      </w:r>
      <w:r>
        <w:t xml:space="preserve">PROCESSING</w:t>
      </w:r>
    </w:p>
    <w:bookmarkStart w:id="27" w:name="high-level-description-of-the-processing"/>
    <w:p>
      <w:pPr>
        <w:numPr>
          <w:ilvl w:val="1"/>
          <w:numId w:val="1001"/>
        </w:numPr>
        <w:pStyle w:val="Heading3"/>
      </w:pPr>
      <w:r>
        <w:t xml:space="preserve">High-level Description of the</w:t>
      </w:r>
      <w:r>
        <w:t xml:space="preserve"> </w:t>
      </w:r>
      <w:r>
        <w:t xml:space="preserve">Processing</w:t>
      </w:r>
    </w:p>
    <w:bookmarkStart w:id="24" w:name="processed-personal-data"/>
    <w:p>
      <w:pPr>
        <w:numPr>
          <w:ilvl w:val="2"/>
          <w:numId w:val="1001"/>
        </w:numPr>
        <w:pStyle w:val="Heading4"/>
      </w:pPr>
      <w:r>
        <w:t xml:space="preserve">Processed Personal Data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49"/>
        <w:gridCol w:w="3557"/>
        <w:gridCol w:w="2808"/>
        <w:gridCol w:w="2246"/>
      </w:tblGrid>
      <w:tr>
        <w:trPr>
          <w:tblHeader w:val="on"/>
        </w:trP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Personal Data Item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Data Type / Data Subject Category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Special Category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Session identifier (List 1 record)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Direction-free opaque</w:t>
            </w:r>
            <w:r>
              <w:t xml:space="preserve"> </w:t>
            </w:r>
            <w:r>
              <w:t xml:space="preserve">identifier; no behavioral direction, no identity attribute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Behavioral payload commitment (List 1 record)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AES-256-GCM sealed</w:t>
            </w:r>
            <w:r>
              <w:t xml:space="preserve"> </w:t>
            </w:r>
            <w:r>
              <w:t xml:space="preserve">byte sequence; content inaccessible without controller-held sealer key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hash (List 2 record)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SHA-256 of verified identity</w:t>
            </w:r>
            <w:r>
              <w:t xml:space="preserve"> </w:t>
            </w:r>
            <w:r>
              <w:t xml:space="preserve">credential; no behavioral payload; no session identifier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Aggregate count per scoping period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Integer count of List 1 and</w:t>
            </w:r>
            <w:r>
              <w:t xml:space="preserve"> </w:t>
            </w:r>
            <w:r>
              <w:t xml:space="preserve">List 2 entries per scoping period; no individual linkage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Period-close attestation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HSM-signed Merkle roots over disjoint</w:t>
            </w:r>
            <w:r>
              <w:t xml:space="preserve"> </w:t>
            </w:r>
            <w:r>
              <w:t xml:space="preserve">List 1 and List 2 sets at period close; no individual record linkage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User-authenticated reconciling record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Per-user behavioral history</w:t>
            </w:r>
            <w:r>
              <w:t xml:space="preserve"> </w:t>
            </w:r>
            <w:r>
              <w:t xml:space="preserve">in off-chain reconciling store; accessible only via identity-gated,</w:t>
            </w:r>
            <w:r>
              <w:t xml:space="preserve"> </w:t>
            </w:r>
            <w:r>
              <w:t xml:space="preserve">non-composable reconciling authority interface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Canonical state architecture:</w:t>
      </w:r>
      <w:r>
        <w:t xml:space="preserve"> </w:t>
      </w:r>
      <w:r>
        <w:t xml:space="preserve">Items 1–5 are canonical ledger</w:t>
      </w:r>
      <w:r>
        <w:t xml:space="preserve"> </w:t>
      </w:r>
      <w:r>
        <w:t xml:space="preserve">records. The canonical state contains no record associating any List 1</w:t>
      </w:r>
      <w:r>
        <w:t xml:space="preserve"> </w:t>
      </w:r>
      <w:r>
        <w:t xml:space="preserve">entry (behavioral payload) with any List 2 entry (identity hash). This</w:t>
      </w:r>
      <w:r>
        <w:t xml:space="preserve"> </w:t>
      </w:r>
      <w:r>
        <w:t xml:space="preserve">is a structural property of the Shyware state machine: the rejection</w:t>
      </w:r>
      <w:r>
        <w:t xml:space="preserve"> </w:t>
      </w:r>
      <w:r>
        <w:t xml:space="preserve">predicate refuses any state transition that would create such an</w:t>
      </w:r>
      <w:r>
        <w:t xml:space="preserve"> </w:t>
      </w:r>
      <w:r>
        <w:t xml:space="preserve">association. Items 1 and 3 share no join key in canonical state by</w:t>
      </w:r>
      <w:r>
        <w:t xml:space="preserve"> </w:t>
      </w:r>
      <w:r>
        <w:t xml:space="preserve">architectural enforcement, not by policy.</w:t>
      </w:r>
    </w:p>
    <w:bookmarkEnd w:id="24"/>
    <w:bookmarkStart w:id="25" w:name="purposes-of-the-processing"/>
    <w:p>
      <w:pPr>
        <w:numPr>
          <w:ilvl w:val="2"/>
          <w:numId w:val="1001"/>
        </w:numPr>
        <w:pStyle w:val="Heading4"/>
      </w:pPr>
      <w:r>
        <w:t xml:space="preserve">Purposes of the Processing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62"/>
        <w:gridCol w:w="2902"/>
        <w:gridCol w:w="1872"/>
        <w:gridCol w:w="4025"/>
      </w:tblGrid>
      <w:tr>
        <w:trPr>
          <w:tblHeader w:val="on"/>
        </w:trP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Personal Data Involved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Legal Basis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Behavioral analytics — aggregate session tracking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Items 1, 2, 4,</w:t>
            </w:r>
            <w:r>
              <w:t xml:space="preserve"> </w:t>
            </w:r>
            <w:r>
              <w:t xml:space="preserve">5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Article 6(1)(f) — legitimate interests; identity not linkable to</w:t>
            </w:r>
            <w:r>
              <w:t xml:space="preserve"> </w:t>
            </w:r>
            <w:r>
              <w:t xml:space="preserve">behavior in canonical state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 — sybil resistance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Item 3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Article</w:t>
            </w:r>
            <w:r>
              <w:t xml:space="preserve"> </w:t>
            </w:r>
            <w:r>
              <w:t xml:space="preserve">6(1)(f) / (b) — service integrity; one canonical record per verified</w:t>
            </w:r>
            <w:r>
              <w:t xml:space="preserve"> </w:t>
            </w:r>
            <w:r>
              <w:t xml:space="preserve">user per scoping period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Period-close attestation — compliance audit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Item 5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Article</w:t>
            </w:r>
            <w:r>
              <w:t xml:space="preserve"> </w:t>
            </w:r>
            <w:r>
              <w:t xml:space="preserve">6(1)(f) / (c) — regulatory audit; aggregate only; no individual</w:t>
            </w:r>
            <w:r>
              <w:t xml:space="preserve"> </w:t>
            </w:r>
            <w:r>
              <w:t xml:space="preserve">linkage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User-authenticated behavioral history retrieval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Item 6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Article</w:t>
            </w:r>
            <w:r>
              <w:t xml:space="preserve"> </w:t>
            </w:r>
            <w:r>
              <w:t xml:space="preserve">6(1)(b) — contract performance; user-initiated only; operator cannot</w:t>
            </w:r>
            <w:r>
              <w:t xml:space="preserve"> </w:t>
            </w:r>
            <w:r>
              <w:t xml:space="preserve">initiate</w:t>
            </w:r>
          </w:p>
        </w:tc>
      </w:tr>
    </w:tbl>
    <w:bookmarkEnd w:id="25"/>
    <w:bookmarkStart w:id="26" w:name="Xe5ea984fcfbb70cee0361dcf13adac89fd34bcb"/>
    <w:p>
      <w:pPr>
        <w:numPr>
          <w:ilvl w:val="2"/>
          <w:numId w:val="1001"/>
        </w:numPr>
        <w:pStyle w:val="Heading4"/>
      </w:pPr>
      <w:r>
        <w:t xml:space="preserve">Nature, Scope and Context of the</w:t>
      </w:r>
      <w:r>
        <w:t xml:space="preserve"> </w:t>
      </w:r>
      <w:r>
        <w:t xml:space="preserve">Processing</w:t>
      </w:r>
    </w:p>
    <w:p>
      <w:pPr>
        <w:pStyle w:val="FirstParagraph"/>
      </w:pPr>
      <w:r>
        <w:rPr>
          <w:b/>
          <w:bCs/>
        </w:rPr>
        <w:t xml:space="preserve">Nature:</w:t>
      </w:r>
      <w:r>
        <w:t xml:space="preserve"> </w:t>
      </w:r>
      <w:r>
        <w:t xml:space="preserve">Behavioral analytics using a two-list state machine</w:t>
      </w:r>
      <w:r>
        <w:t xml:space="preserve"> </w:t>
      </w:r>
      <w:r>
        <w:t xml:space="preserve">(Shyware SDK). Behavioral events are atomically committed to a</w:t>
      </w:r>
      <w:r>
        <w:t xml:space="preserve"> </w:t>
      </w:r>
      <w:r>
        <w:t xml:space="preserve">distributed ledger as two structurally disjoint records: List 1 (sealed</w:t>
      </w:r>
      <w:r>
        <w:t xml:space="preserve"> </w:t>
      </w:r>
      <w:r>
        <w:t xml:space="preserve">behavioral payload, no identity) and List 2 (identity hash, no</w:t>
      </w:r>
      <w:r>
        <w:t xml:space="preserve"> </w:t>
      </w:r>
      <w:r>
        <w:t xml:space="preserve">behavioral payload). No join key is written to canonical state.</w:t>
      </w:r>
      <w:r>
        <w:t xml:space="preserve"> </w:t>
      </w:r>
      <w:r>
        <w:t xml:space="preserve">Operator-level enumeration — querying</w:t>
      </w:r>
      <w:r>
        <w:t xml:space="preserve"> </w:t>
      </w:r>
      <w:r>
        <w:t xml:space="preserve">“all users who performed</w:t>
      </w:r>
      <w:r>
        <w:t xml:space="preserve"> </w:t>
      </w:r>
      <w:r>
        <w:t xml:space="preserve">behavior X”</w:t>
      </w:r>
      <w:r>
        <w:t xml:space="preserve"> </w:t>
      </w:r>
      <w:r>
        <w:t xml:space="preserve">— is structurally unavailable because canonical state</w:t>
      </w:r>
      <w:r>
        <w:t xml:space="preserve"> </w:t>
      </w:r>
      <w:r>
        <w:t xml:space="preserve">does not contain sufficient information to derive the association.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EU enterprise users of the analytics vendor’s platform</w:t>
      </w:r>
      <w:r>
        <w:t xml:space="preserve"> </w:t>
      </w:r>
      <w:r>
        <w:t xml:space="preserve">across DACH, Benelux, and France. Processing operates at scale within</w:t>
      </w:r>
      <w:r>
        <w:t xml:space="preserve"> </w:t>
      </w:r>
      <w:r>
        <w:t xml:space="preserve">the meaning of Article 35(3)(b) GDPR. Frequency: per-session event</w:t>
      </w:r>
      <w:r>
        <w:t xml:space="preserve"> </w:t>
      </w:r>
      <w:r>
        <w:t xml:space="preserve">writes; continuous during active user sessions.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B2B analytics SDK deployed by an analytics vendor to</w:t>
      </w:r>
      <w:r>
        <w:t xml:space="preserve"> </w:t>
      </w:r>
      <w:r>
        <w:t xml:space="preserve">enterprise customers with EU legal entities. Enterprise customers</w:t>
      </w:r>
      <w:r>
        <w:t xml:space="preserve"> </w:t>
      </w:r>
      <w:r>
        <w:t xml:space="preserve">operate simultaneously under Austrian, German, Belgian, and French DPA</w:t>
      </w:r>
      <w:r>
        <w:t xml:space="preserve"> </w:t>
      </w:r>
      <w:r>
        <w:t xml:space="preserve">jurisdiction. The controller cannot rely on CNIL’s conditional</w:t>
      </w:r>
      <w:r>
        <w:t xml:space="preserve"> </w:t>
      </w:r>
      <w:r>
        <w:t xml:space="preserve">endorsement of server-side tagging because enterprise customers face</w:t>
      </w:r>
      <w:r>
        <w:t xml:space="preserve"> </w:t>
      </w:r>
      <w:r>
        <w:t xml:space="preserve">stricter enforcement in DACH and Benelux (Austrian DSB 2022; German SDM</w:t>
      </w:r>
      <w:r>
        <w:t xml:space="preserve"> </w:t>
      </w:r>
      <w:r>
        <w:t xml:space="preserve">unlinkability benchmark; Belgian DPA TCF rejection 2024).</w:t>
      </w:r>
    </w:p>
    <w:p>
      <w:pPr>
        <w:pStyle w:val="BodyText"/>
      </w:pPr>
      <w:r>
        <w:rPr>
          <w:b/>
          <w:bCs/>
        </w:rPr>
        <w:t xml:space="preserve">Cross-border processing:</w:t>
      </w:r>
      <w:r>
        <w:t xml:space="preserve"> </w:t>
      </w:r>
      <w:r>
        <w:t xml:space="preserve">Yes — processing occurs across EU</w:t>
      </w:r>
      <w:r>
        <w:t xml:space="preserve"> </w:t>
      </w:r>
      <w:r>
        <w:t xml:space="preserve">member states including DE, AT, BE, NL, and FR.</w:t>
      </w:r>
    </w:p>
    <w:p>
      <w:pPr>
        <w:pStyle w:val="BodyText"/>
      </w:pPr>
      <w:r>
        <w:rPr>
          <w:b/>
          <w:bCs/>
        </w:rPr>
        <w:t xml:space="preserve">Third country transfer:</w:t>
      </w:r>
      <w:r>
        <w:t xml:space="preserve"> </w:t>
      </w:r>
      <w:r>
        <w:t xml:space="preserve">No third-country transfer for canonical</w:t>
      </w:r>
      <w:r>
        <w:t xml:space="preserve"> </w:t>
      </w:r>
      <w:r>
        <w:t xml:space="preserve">ledger state or off-chain reconciling store (EU-region hosting). IDV</w:t>
      </w:r>
      <w:r>
        <w:t xml:space="preserve"> </w:t>
      </w:r>
      <w:r>
        <w:t xml:space="preserve">provider (the identity verification provider) — subject to separate</w:t>
      </w:r>
      <w:r>
        <w:t xml:space="preserve"> </w:t>
      </w:r>
      <w:r>
        <w:t xml:space="preserve">Chapter V assessment; SCCs applied where IDV provider operates outside</w:t>
      </w:r>
      <w:r>
        <w:t xml:space="preserve"> </w:t>
      </w:r>
      <w:r>
        <w:t xml:space="preserve">EEA.</w:t>
      </w:r>
    </w:p>
    <w:bookmarkEnd w:id="26"/>
    <w:bookmarkEnd w:id="27"/>
    <w:bookmarkStart w:id="28" w:name="functional-description"/>
    <w:p>
      <w:pPr>
        <w:numPr>
          <w:ilvl w:val="1"/>
          <w:numId w:val="1001"/>
        </w:numPr>
        <w:pStyle w:val="Heading3"/>
      </w:pPr>
      <w:r>
        <w:t xml:space="preserve">Functional Description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872"/>
        <w:gridCol w:w="2808"/>
        <w:gridCol w:w="4680"/>
      </w:tblGrid>
      <w:tr>
        <w:trPr>
          <w:tblHeader w:val="on"/>
        </w:trP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Operations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 behavioral event captured client-side via SDK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SDK</w:t>
            </w:r>
            <w:r>
              <w:t xml:space="preserve"> </w:t>
            </w:r>
            <w:r>
              <w:t xml:space="preserve">generates direction-free session identifier and AES-256-GCM sealed</w:t>
            </w:r>
            <w:r>
              <w:t xml:space="preserve"> </w:t>
            </w:r>
            <w:r>
              <w:t xml:space="preserve">behavioral payload; no raw behavioral data transmitted without</w:t>
            </w:r>
            <w:r>
              <w:t xml:space="preserve"> </w:t>
            </w:r>
            <w:r>
              <w:t xml:space="preserve">sealing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Two-list atomic write to distributed ledger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List 1 (session ID +</w:t>
            </w:r>
            <w:r>
              <w:t xml:space="preserve"> </w:t>
            </w:r>
            <w:r>
              <w:t xml:space="preserve">sealed payload) and List 2 (identity hash) committed atomically;</w:t>
            </w:r>
            <w:r>
              <w:t xml:space="preserve"> </w:t>
            </w:r>
            <w:r>
              <w:t xml:space="preserve">rejection predicate enforced at validation layer before consensus</w:t>
            </w:r>
            <w:r>
              <w:t xml:space="preserve"> </w:t>
            </w:r>
            <w:r>
              <w:t xml:space="preserve">commit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ledger state + off-chain reconciling store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ledger: disjoint List 1 and List 2 records only (no join key).</w:t>
            </w:r>
            <w:r>
              <w:t xml:space="preserve"> </w:t>
            </w:r>
            <w:r>
              <w:t xml:space="preserve">Off-chain (CockroachDB EU-region): per-user behavioral history,</w:t>
            </w:r>
            <w:r>
              <w:t xml:space="preserve"> </w:t>
            </w:r>
            <w:r>
              <w:t xml:space="preserve">identity-gated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Sharing and Transfer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User-authenticated reconciling retrieval only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 operator-initiated sharing. User authenticates via IDV; reconciling</w:t>
            </w:r>
            <w:r>
              <w:t xml:space="preserve"> </w:t>
            </w:r>
            <w:r>
              <w:t xml:space="preserve">authority returns that user’s history only. Non-composable: no</w:t>
            </w:r>
            <w:r>
              <w:t xml:space="preserve"> </w:t>
            </w:r>
            <w:r>
              <w:t xml:space="preserve">cross-user queries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Deletion and Destruction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Credential-free rescission — atomic L1+L2</w:t>
            </w:r>
            <w:r>
              <w:t xml:space="preserve"> </w:t>
            </w:r>
            <w:r>
              <w:t xml:space="preserve">deletion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 authenticates via biometric IDV; reconciling authority</w:t>
            </w:r>
            <w:r>
              <w:t xml:space="preserve"> </w:t>
            </w:r>
            <w:r>
              <w:t xml:space="preserve">co-signs deletion of both List 1 and List 2 records; count-match</w:t>
            </w:r>
            <w:r>
              <w:t xml:space="preserve"> </w:t>
            </w:r>
            <w:r>
              <w:t xml:space="preserve">invariant preserved post-deletion</w:t>
            </w:r>
          </w:p>
        </w:tc>
      </w:tr>
    </w:tbl>
    <w:bookmarkEnd w:id="28"/>
    <w:bookmarkStart w:id="29" w:name="Xe3c2d21b8fd48096ad3a1c32a4565ae6dfab55b"/>
    <w:p>
      <w:pPr>
        <w:numPr>
          <w:ilvl w:val="1"/>
          <w:numId w:val="1001"/>
        </w:numPr>
        <w:pStyle w:val="Heading3"/>
      </w:pPr>
      <w:r>
        <w:t xml:space="preserve">Means of Processing, Supporting Assets and Underlying</w:t>
      </w:r>
      <w:r>
        <w:t xml:space="preserve"> </w:t>
      </w:r>
      <w:r>
        <w:t xml:space="preserve">Architecture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340"/>
        <w:gridCol w:w="2995"/>
        <w:gridCol w:w="4025"/>
      </w:tblGrid>
      <w:tr>
        <w:trPr>
          <w:tblHeader w:val="on"/>
        </w:trP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Asset Group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Asset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Role in Processing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Validation layer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Shyware state machine (Go binary; distributed ledger</w:t>
            </w:r>
            <w:r>
              <w:t xml:space="preserve"> </w:t>
            </w:r>
            <w:r>
              <w:t xml:space="preserve">node)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Enforces rejection predicate before consensus commit; refuses</w:t>
            </w:r>
            <w:r>
              <w:t xml:space="preserve"> </w:t>
            </w:r>
            <w:r>
              <w:t xml:space="preserve">state transitions creating identity-payload association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Sealing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AES-256-GCM; sealer key (controller-held, HSM-backed)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Seals</w:t>
            </w:r>
            <w:r>
              <w:t xml:space="preserve"> </w:t>
            </w:r>
            <w:r>
              <w:t xml:space="preserve">behavioral payload before write; sealer key never written to canonical</w:t>
            </w:r>
            <w:r>
              <w:t xml:space="preserve"> </w:t>
            </w:r>
            <w:r>
              <w:t xml:space="preserve">state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binding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SHA-256(identity credential); IDV provider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Derives</w:t>
            </w:r>
            <w:r>
              <w:t xml:space="preserve"> </w:t>
            </w:r>
            <w:r>
              <w:t xml:space="preserve">identity hash for List 2; raw credential not written to canonical</w:t>
            </w:r>
            <w:r>
              <w:t xml:space="preserve"> </w:t>
            </w:r>
            <w:r>
              <w:t xml:space="preserve">state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Signing / attestation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AWS KMS (ECC_NIST_P256, FIPS 140-3 L3) or AWS</w:t>
            </w:r>
            <w:r>
              <w:t xml:space="preserve"> </w:t>
            </w:r>
            <w:r>
              <w:t xml:space="preserve">CloudHSM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Signs disjoint Merkle roots at period close; public key</w:t>
            </w:r>
            <w:r>
              <w:t xml:space="preserve"> </w:t>
            </w:r>
            <w:r>
              <w:t xml:space="preserve">enables third-party verification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store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CockroachDB (EU-region, encryption at rest)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Stores</w:t>
            </w:r>
            <w:r>
              <w:t xml:space="preserve"> </w:t>
            </w:r>
            <w:r>
              <w:t xml:space="preserve">per-user behavioral history; identity-gated, non-composable API only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/ recovery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 provider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Biometric</w:t>
            </w:r>
            <w:r>
              <w:t xml:space="preserve"> </w:t>
            </w:r>
            <w:r>
              <w:t xml:space="preserve">re-derivation for user-authenticated retrieval and credential-free</w:t>
            </w:r>
            <w:r>
              <w:t xml:space="preserve"> </w:t>
            </w:r>
            <w:r>
              <w:t xml:space="preserve">rescission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SDK distribution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Signed SDK releases; reproducible builds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Integrity</w:t>
            </w:r>
            <w:r>
              <w:t xml:space="preserve"> </w:t>
            </w:r>
            <w:r>
              <w:t xml:space="preserve">of rejection predicate enforced via supply chain controls</w:t>
            </w:r>
          </w:p>
        </w:tc>
      </w:tr>
    </w:tbl>
    <w:bookmarkEnd w:id="29"/>
    <w:bookmarkEnd w:id="30"/>
    <w:bookmarkStart w:id="42" w:name="analysis-of-the-processing"/>
    <w:p>
      <w:pPr>
        <w:numPr>
          <w:ilvl w:val="0"/>
          <w:numId w:val="1001"/>
        </w:numPr>
        <w:pStyle w:val="Heading2"/>
      </w:pPr>
      <w:r>
        <w:t xml:space="preserve">ANALYSIS OF THE</w:t>
      </w:r>
      <w:r>
        <w:t xml:space="preserve"> </w:t>
      </w:r>
      <w:r>
        <w:t xml:space="preserve">PROCESSING</w:t>
      </w:r>
    </w:p>
    <w:bookmarkStart w:id="32" w:name="lawfulness-of-the-processing"/>
    <w:p>
      <w:pPr>
        <w:numPr>
          <w:ilvl w:val="1"/>
          <w:numId w:val="1001"/>
        </w:numPr>
        <w:pStyle w:val="Heading3"/>
      </w:pPr>
      <w:r>
        <w:t xml:space="preserve">Lawfulness of the</w:t>
      </w:r>
      <w:r>
        <w:t xml:space="preserve"> </w:t>
      </w:r>
      <w:r>
        <w:t xml:space="preserve">Processing</w:t>
      </w:r>
    </w:p>
    <w:bookmarkStart w:id="31" w:name="legal-basis"/>
    <w:p>
      <w:pPr>
        <w:numPr>
          <w:ilvl w:val="2"/>
          <w:numId w:val="1001"/>
        </w:numPr>
        <w:pStyle w:val="Heading4"/>
      </w:pPr>
      <w:r>
        <w:t xml:space="preserve">Legal Basis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434"/>
        <w:gridCol w:w="2621"/>
        <w:gridCol w:w="4306"/>
      </w:tblGrid>
      <w:tr>
        <w:trPr>
          <w:tblHeader w:val="on"/>
        </w:trP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Legal Basis (Article 6(1) GDPR)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Justification</w:t>
            </w:r>
          </w:p>
        </w:tc>
      </w:tr>
      <w:t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Aggregate behavioral analytics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(f) Legitimate interests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Legitimate</w:t>
            </w:r>
            <w:r>
              <w:t xml:space="preserve"> </w:t>
            </w:r>
            <w:r>
              <w:t xml:space="preserve">interest: product improvement, service quality. Balancing test: data</w:t>
            </w:r>
            <w:r>
              <w:t xml:space="preserve"> </w:t>
            </w:r>
            <w:r>
              <w:t xml:space="preserve">subject impact is structurally minimized — identity is not linkable to</w:t>
            </w:r>
            <w:r>
              <w:t xml:space="preserve"> </w:t>
            </w:r>
            <w:r>
              <w:t xml:space="preserve">behavior in canonical state; operator-level enumeration is</w:t>
            </w:r>
            <w:r>
              <w:t xml:space="preserve"> </w:t>
            </w:r>
            <w:r>
              <w:t xml:space="preserve">architecturally unavailable. Outweighs data subject privacy interest.</w:t>
            </w:r>
          </w:p>
        </w:tc>
      </w:tr>
      <w:t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 / sybil resistance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(f) Legitimate interests /</w:t>
            </w:r>
            <w:r>
              <w:t xml:space="preserve"> </w:t>
            </w:r>
            <w:r>
              <w:t xml:space="preserve">(b) Contract performance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Necessary for service integrity. Identity</w:t>
            </w:r>
            <w:r>
              <w:t xml:space="preserve"> </w:t>
            </w:r>
            <w:r>
              <w:t xml:space="preserve">hash reveals no behavioral content.</w:t>
            </w:r>
          </w:p>
        </w:tc>
      </w:tr>
      <w:t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Period-close attestation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(f) Legitimate interests / (c) Legal</w:t>
            </w:r>
            <w:r>
              <w:t xml:space="preserve"> </w:t>
            </w:r>
            <w:r>
              <w:t xml:space="preserve">obligation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Regulatory audit readiness; aggregate data only; no</w:t>
            </w:r>
            <w:r>
              <w:t xml:space="preserve"> </w:t>
            </w:r>
            <w:r>
              <w:t xml:space="preserve">individual linkage.</w:t>
            </w:r>
          </w:p>
        </w:tc>
      </w:tr>
      <w:t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User-authenticated history retrieval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(b) Contract performance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</w:t>
            </w:r>
            <w:r>
              <w:t xml:space="preserve"> </w:t>
            </w:r>
            <w:r>
              <w:t xml:space="preserve">requests own data as part of service. User-initiated only; operator</w:t>
            </w:r>
            <w:r>
              <w:t xml:space="preserve"> </w:t>
            </w:r>
            <w:r>
              <w:t xml:space="preserve">cannot initiate.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Consent basis excluded:</w:t>
      </w:r>
      <w:r>
        <w:t xml:space="preserve"> </w:t>
      </w:r>
      <w:r>
        <w:t xml:space="preserve">Controller does not rely on Article</w:t>
      </w:r>
      <w:r>
        <w:t xml:space="preserve"> </w:t>
      </w:r>
      <w:r>
        <w:t xml:space="preserve">6(1)(a) consent for behavioral analytics. Consent is systematically</w:t>
      </w:r>
      <w:r>
        <w:t xml:space="preserve"> </w:t>
      </w:r>
      <w:r>
        <w:t xml:space="preserve">rejected by EU DPAs as a valid basis for behavioral profiling when</w:t>
      </w:r>
      <w:r>
        <w:t xml:space="preserve"> </w:t>
      </w:r>
      <w:r>
        <w:t xml:space="preserve">effectively a condition of service access. See: LinkedIn behavioral</w:t>
      </w:r>
      <w:r>
        <w:t xml:space="preserve"> </w:t>
      </w:r>
      <w:r>
        <w:t xml:space="preserve">advertising fine — IE DPA (Oct 2024, €310M); Meta behavioral</w:t>
      </w:r>
      <w:r>
        <w:t xml:space="preserve"> </w:t>
      </w:r>
      <w:r>
        <w:t xml:space="preserve">advertising fine (2023, €390M). Structural minimization under legitimate</w:t>
      </w:r>
      <w:r>
        <w:t xml:space="preserve"> </w:t>
      </w:r>
      <w:r>
        <w:t xml:space="preserve">interests is the legally preferred basis.</w:t>
      </w:r>
    </w:p>
    <w:bookmarkEnd w:id="31"/>
    <w:bookmarkEnd w:id="32"/>
    <w:bookmarkStart w:id="35" w:name="Xa5f5b7b2e8e10022b2703a452ac532eff7a6137"/>
    <w:p>
      <w:pPr>
        <w:numPr>
          <w:ilvl w:val="1"/>
          <w:numId w:val="1001"/>
        </w:numPr>
        <w:pStyle w:val="Heading3"/>
      </w:pPr>
      <w:r>
        <w:t xml:space="preserve">Data Minimisation, Retention Periods, and Data</w:t>
      </w:r>
      <w:r>
        <w:t xml:space="preserve"> </w:t>
      </w:r>
      <w:r>
        <w:t xml:space="preserve">Quality</w:t>
      </w:r>
    </w:p>
    <w:bookmarkStart w:id="33" w:name="data-minimisation-and-retention-periods"/>
    <w:p>
      <w:pPr>
        <w:numPr>
          <w:ilvl w:val="2"/>
          <w:numId w:val="1001"/>
        </w:numPr>
        <w:pStyle w:val="Heading4"/>
      </w:pPr>
      <w:r>
        <w:t xml:space="preserve">Data Minimisation and Retention</w:t>
      </w:r>
      <w:r>
        <w:t xml:space="preserve"> </w:t>
      </w:r>
      <w:r>
        <w:t xml:space="preserve">Periods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778"/>
        <w:gridCol w:w="1872"/>
        <w:gridCol w:w="1966"/>
        <w:gridCol w:w="1778"/>
        <w:gridCol w:w="1966"/>
      </w:tblGrid>
      <w:tr>
        <w:trPr>
          <w:tblHeader w:val="on"/>
        </w:trP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Personal Data Item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Justification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Recipients</w:t>
            </w:r>
          </w:p>
        </w:tc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Retention Period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Justification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Session identifier (List 1)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Minimum necessary for behavioral analytics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Controller; canonical ledger nodes</w:t>
            </w:r>
          </w:p>
        </w:tc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months from last user</w:t>
            </w:r>
            <w:r>
              <w:t xml:space="preserve"> </w:t>
            </w:r>
            <w:r>
              <w:t xml:space="preserve">activity, or until user-initiated rescission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Aligned with analytics</w:t>
            </w:r>
            <w:r>
              <w:t xml:space="preserve"> </w:t>
            </w:r>
            <w:r>
              <w:t xml:space="preserve">service lifecycle; structural minimum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Sealed behavioral payload (List 1)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Minimum necessary for product</w:t>
            </w:r>
            <w:r>
              <w:t xml:space="preserve"> </w:t>
            </w:r>
            <w:r>
              <w:t xml:space="preserve">analytics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 only (sealer key required)</w:t>
            </w:r>
          </w:p>
        </w:tc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months or until</w:t>
            </w:r>
            <w:r>
              <w:t xml:space="preserve"> </w:t>
            </w:r>
            <w:r>
              <w:t xml:space="preserve">rescission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Sealed at rest; inaccessible without sealer key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hash (List 2)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Minimum necessary for sybil resistance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Controller; canonical ledger nodes</w:t>
            </w:r>
          </w:p>
        </w:tc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months or until rescission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behavioral content; cannot identify user without IDV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Aggregate count / period-close attestation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Minimum necessary for</w:t>
            </w:r>
            <w:r>
              <w:t xml:space="preserve"> </w:t>
            </w:r>
            <w:r>
              <w:t xml:space="preserve">regulatory audit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Controller; regulatory authority on inspection</w:t>
            </w:r>
          </w:p>
        </w:tc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years (regulatory audit obligation)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Aggregate only; no individual</w:t>
            </w:r>
            <w:r>
              <w:t xml:space="preserve"> </w:t>
            </w:r>
            <w:r>
              <w:t xml:space="preserve">linkage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reconciling record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Minimum necessary for user-authenticated</w:t>
            </w:r>
            <w:r>
              <w:t xml:space="preserve"> </w:t>
            </w:r>
            <w:r>
              <w:t xml:space="preserve">retrieval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 only (identity-gated); IDV for authentication only</w:t>
            </w:r>
          </w:p>
        </w:tc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Until user-initiated rescission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Per-user; non-composable; deleted on</w:t>
            </w:r>
            <w:r>
              <w:t xml:space="preserve"> </w:t>
            </w:r>
            <w:r>
              <w:t xml:space="preserve">user request</w:t>
            </w:r>
          </w:p>
        </w:tc>
      </w:tr>
    </w:tbl>
    <w:bookmarkEnd w:id="33"/>
    <w:bookmarkStart w:id="34" w:name="data-quality"/>
    <w:p>
      <w:pPr>
        <w:numPr>
          <w:ilvl w:val="2"/>
          <w:numId w:val="1001"/>
        </w:numPr>
        <w:pStyle w:val="Heading4"/>
      </w:pPr>
      <w:r>
        <w:t xml:space="preserve">Data Quality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340"/>
        <w:gridCol w:w="3370"/>
        <w:gridCol w:w="3650"/>
      </w:tblGrid>
      <w:tr>
        <w:trPr>
          <w:tblHeader w:val="on"/>
        </w:trP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Personal Data Item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Quality Metrics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Justification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hash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Deterministic derivation from IDV-verified credential;</w:t>
            </w:r>
            <w:r>
              <w:t xml:space="preserve"> </w:t>
            </w:r>
            <w:r>
              <w:t xml:space="preserve">refreshed on re-attestation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Accuracy maintained by IDV</w:t>
            </w:r>
            <w:r>
              <w:t xml:space="preserve"> </w:t>
            </w:r>
            <w:r>
              <w:t xml:space="preserve">re-verification; stale hashes invalidated on re-attestation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Session identifier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Opaque; direction-free; not individually</w:t>
            </w:r>
            <w:r>
              <w:t xml:space="preserve"> </w:t>
            </w:r>
            <w:r>
              <w:t xml:space="preserve">correctable by design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Structural property; no accuracy obligation</w:t>
            </w:r>
            <w:r>
              <w:t xml:space="preserve"> </w:t>
            </w:r>
            <w:r>
              <w:t xml:space="preserve">attaches to a direction-free identifier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Period-close attestation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HSM-signed; append-only; immutable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Integrity guaranteed by HSM signing key; count-match verifiable by any</w:t>
            </w:r>
            <w:r>
              <w:t xml:space="preserve"> </w:t>
            </w:r>
            <w:r>
              <w:t xml:space="preserve">third party with public key</w:t>
            </w:r>
          </w:p>
        </w:tc>
      </w:tr>
    </w:tbl>
    <w:bookmarkEnd w:id="34"/>
    <w:bookmarkEnd w:id="35"/>
    <w:bookmarkStart w:id="41" w:name="measures-supporting-compliance"/>
    <w:p>
      <w:pPr>
        <w:numPr>
          <w:ilvl w:val="1"/>
          <w:numId w:val="1001"/>
        </w:numPr>
        <w:pStyle w:val="Heading3"/>
      </w:pPr>
      <w:r>
        <w:t xml:space="preserve">Measures Supporting</w:t>
      </w:r>
      <w:r>
        <w:t xml:space="preserve"> </w:t>
      </w:r>
      <w:r>
        <w:t xml:space="preserve">Compliance</w:t>
      </w:r>
    </w:p>
    <w:bookmarkStart w:id="36" w:name="X0c697090881fb484c3d4e8643c1277b02e9dda8"/>
    <w:p>
      <w:pPr>
        <w:numPr>
          <w:ilvl w:val="2"/>
          <w:numId w:val="1001"/>
        </w:numPr>
        <w:pStyle w:val="Heading4"/>
      </w:pPr>
      <w:r>
        <w:t xml:space="preserve">Measures Supporting Compliance with Article 5(1) GDPR</w:t>
      </w:r>
      <w:r>
        <w:t xml:space="preserve"> </w:t>
      </w:r>
      <w:r>
        <w:t xml:space="preserve">Principles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85"/>
        <w:gridCol w:w="3276"/>
        <w:gridCol w:w="3370"/>
        <w:gridCol w:w="1030"/>
      </w:tblGrid>
      <w:tr>
        <w:trPr>
          <w:tblHeader w:val="on"/>
        </w:trPr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Principle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Supporting Measures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Appropriateness and Effectiveness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Fairness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Structural non-representability: operator cannot derive</w:t>
            </w:r>
            <w:r>
              <w:t xml:space="preserve"> </w:t>
            </w:r>
            <w:r>
              <w:t xml:space="preserve">identity-behavior association from canonical state by any query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Architectural guarantee — not policy-dependent; survives operator</w:t>
            </w:r>
            <w:r>
              <w:t xml:space="preserve"> </w:t>
            </w:r>
            <w:r>
              <w:t xml:space="preserve">compromise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Transparency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User-facing privacy notice describing two-list</w:t>
            </w:r>
            <w:r>
              <w:t xml:space="preserve"> </w:t>
            </w:r>
            <w:r>
              <w:t xml:space="preserve">architecture, sealing, and user-authenticated retrieval path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Standard;</w:t>
            </w:r>
            <w:r>
              <w:t xml:space="preserve"> </w:t>
            </w:r>
            <w:r>
              <w:t xml:space="preserve">architecture is describable without revealing security internals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Purpose limitation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Rejection predicate structurally prevents canonical</w:t>
            </w:r>
            <w:r>
              <w:t xml:space="preserve"> </w:t>
            </w:r>
            <w:r>
              <w:t xml:space="preserve">state from being used for purposes requiring identity-behavior join; no</w:t>
            </w:r>
            <w:r>
              <w:t xml:space="preserve"> </w:t>
            </w:r>
            <w:r>
              <w:t xml:space="preserve">secondary use of join because join does not exist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Structural</w:t>
            </w:r>
            <w:r>
              <w:t xml:space="preserve"> </w:t>
            </w:r>
            <w:r>
              <w:t xml:space="preserve">enforcement at validation layer; not configurable by operator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 minimisation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List 1: no identity. List 2: no behavioral payload.</w:t>
            </w:r>
            <w:r>
              <w:t xml:space="preserve"> </w:t>
            </w:r>
            <w:r>
              <w:t xml:space="preserve">No join key committed. Aggregate-only period-close attestation. German</w:t>
            </w:r>
            <w:r>
              <w:t xml:space="preserve"> </w:t>
            </w:r>
            <w:r>
              <w:t xml:space="preserve">SDM unlinkability protection goal satisfied.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Structural minimum —</w:t>
            </w:r>
            <w:r>
              <w:t xml:space="preserve"> </w:t>
            </w:r>
            <w:r>
              <w:t xml:space="preserve">less cannot be stored while preserving service functionality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re-attestation for identity hash; AES-256-GCM for payload</w:t>
            </w:r>
            <w:r>
              <w:t xml:space="preserve"> </w:t>
            </w:r>
            <w:r>
              <w:t xml:space="preserve">integrity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Cryptographic integrity; re-attestation enforces accuracy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Storage limitation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-month retention per data item; user-initiated</w:t>
            </w:r>
            <w:r>
              <w:t xml:space="preserve"> </w:t>
            </w:r>
            <w:r>
              <w:t xml:space="preserve">rescission supported (atomic L1+L2 deletion)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Retention periods defined</w:t>
            </w:r>
            <w:r>
              <w:t xml:space="preserve"> </w:t>
            </w:r>
            <w:r>
              <w:t xml:space="preserve">and technically enforced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Planned (pre-launch)</w:t>
            </w:r>
          </w:p>
        </w:tc>
      </w:tr>
      <w:tr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Integrity and confidentiality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AES-256-GCM payload sealing; TLS 1.3 in</w:t>
            </w:r>
            <w:r>
              <w:t xml:space="preserve"> </w:t>
            </w:r>
            <w:r>
              <w:t xml:space="preserve">transit; HSM-backed signing; no operator access to sealed content</w:t>
            </w:r>
            <w:r>
              <w:t xml:space="preserve"> </w:t>
            </w:r>
            <w:r>
              <w:t xml:space="preserve">without sealer key; BFT consensus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Defense-in-depth; multiple</w:t>
            </w:r>
            <w:r>
              <w:t xml:space="preserve"> </w:t>
            </w:r>
            <w:r>
              <w:t xml:space="preserve">independent controls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Accountability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DPIA documented; annual review; DPO consulted; ROPA</w:t>
            </w:r>
            <w:r>
              <w:t xml:space="preserve"> </w:t>
            </w:r>
            <w:r>
              <w:t xml:space="preserve">maintained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</w:tbl>
    <w:bookmarkEnd w:id="36"/>
    <w:bookmarkStart w:id="37" w:name="X19584d345d4510df8b826e778cb97f9bb9d2424"/>
    <w:p>
      <w:pPr>
        <w:numPr>
          <w:ilvl w:val="2"/>
          <w:numId w:val="1001"/>
        </w:numPr>
        <w:pStyle w:val="Heading4"/>
      </w:pPr>
      <w:r>
        <w:t xml:space="preserve">Measures Supporting Exercise of Data Subject</w:t>
      </w:r>
      <w:r>
        <w:t xml:space="preserve"> </w:t>
      </w:r>
      <w:r>
        <w:t xml:space="preserve">Rights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966"/>
        <w:gridCol w:w="3182"/>
        <w:gridCol w:w="3182"/>
        <w:gridCol w:w="1030"/>
      </w:tblGrid>
      <w:tr>
        <w:trPr>
          <w:tblHeader w:val="on"/>
        </w:trP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Right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Supporting Measures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Effectiveness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Information (Articles 12–14)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Privacy notice describing architecture,</w:t>
            </w:r>
            <w:r>
              <w:t xml:space="preserve"> </w:t>
            </w:r>
            <w:r>
              <w:t xml:space="preserve">legal basis, retention periods, and user-authenticated retrieval path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Standard; architecture fully describable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Access and portability (Articles 15, 20)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User-authenticated</w:t>
            </w:r>
            <w:r>
              <w:t xml:space="preserve"> </w:t>
            </w:r>
            <w:r>
              <w:t xml:space="preserve">reconciling authority interface returns full behavioral history in</w:t>
            </w:r>
            <w:r>
              <w:t xml:space="preserve"> </w:t>
            </w:r>
            <w:r>
              <w:t xml:space="preserve">machine-readable format; no operator intermediation required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Structural: user accesses own data without operator involvement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Rectification and erasure (Articles 16, 17)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Credential-free</w:t>
            </w:r>
            <w:r>
              <w:t xml:space="preserve"> </w:t>
            </w:r>
            <w:r>
              <w:t xml:space="preserve">rescission: atomic L1+L2 deletion co-signed by reconciling authority;</w:t>
            </w:r>
            <w:r>
              <w:t xml:space="preserve"> </w:t>
            </w:r>
            <w:r>
              <w:t xml:space="preserve">count-match invariant preserved; biometric re-derivation removes</w:t>
            </w:r>
            <w:r>
              <w:t xml:space="preserve"> </w:t>
            </w:r>
            <w:r>
              <w:t xml:space="preserve">memorized-secret dependency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Structural: no secret required; biometric</w:t>
            </w:r>
            <w:r>
              <w:t xml:space="preserve"> </w:t>
            </w:r>
            <w:r>
              <w:t xml:space="preserve">re-derivation enables erasure on any device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Object and restrict (Articles 18, 19, 21)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 may object to</w:t>
            </w:r>
            <w:r>
              <w:t xml:space="preserve"> </w:t>
            </w:r>
            <w:r>
              <w:t xml:space="preserve">legitimate-interest processing; controller assesses compelling grounds;</w:t>
            </w:r>
            <w:r>
              <w:t xml:space="preserve"> </w:t>
            </w:r>
            <w:r>
              <w:t xml:space="preserve">rescission available if objection upheld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Standard objection handling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 solely automated decision-making (Article 22)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 automated</w:t>
            </w:r>
            <w:r>
              <w:t xml:space="preserve"> </w:t>
            </w:r>
            <w:r>
              <w:t xml:space="preserve">decisions with legal or similarly significant effect are made on the</w:t>
            </w:r>
            <w:r>
              <w:t xml:space="preserve"> </w:t>
            </w:r>
            <w:r>
              <w:t xml:space="preserve">basis of behavioral analytics output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37"/>
    <w:bookmarkStart w:id="38" w:name="Xb27341a8e0fd815839cc07ef1dd527933c4f369"/>
    <w:p>
      <w:pPr>
        <w:numPr>
          <w:ilvl w:val="2"/>
          <w:numId w:val="1001"/>
        </w:numPr>
        <w:pStyle w:val="Heading4"/>
      </w:pPr>
      <w:r>
        <w:t xml:space="preserve">Measures Supporting Compliance with Other GDPR</w:t>
      </w:r>
      <w:r>
        <w:t xml:space="preserve"> </w:t>
      </w:r>
      <w:r>
        <w:t xml:space="preserve">Requirements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059"/>
        <w:gridCol w:w="3370"/>
        <w:gridCol w:w="2902"/>
        <w:gridCol w:w="1030"/>
      </w:tblGrid>
      <w:tr>
        <w:trPr>
          <w:tblHeader w:val="on"/>
        </w:trPr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Requirement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Supporting Measures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Effectiveness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Consent requirements (Article 7)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Consent not relied upon as legal</w:t>
            </w:r>
            <w:r>
              <w:t xml:space="preserve"> </w:t>
            </w:r>
            <w:r>
              <w:t xml:space="preserve">basis; no consent management infrastructure required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N/A — basis is</w:t>
            </w:r>
            <w:r>
              <w:t xml:space="preserve"> </w:t>
            </w:r>
            <w:r>
              <w:t xml:space="preserve">legitimate interests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Processor relationship (Article 28)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Shyware DPA executed with the</w:t>
            </w:r>
            <w:r>
              <w:t xml:space="preserve"> </w:t>
            </w:r>
            <w:r>
              <w:t xml:space="preserve">customer under Article 28. Shyware acts as processor for customer user</w:t>
            </w:r>
            <w:r>
              <w:t xml:space="preserve"> </w:t>
            </w:r>
            <w:r>
              <w:t xml:space="preserve">data processed through the SDK and related hosted services.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DPA in</w:t>
            </w:r>
            <w:r>
              <w:t xml:space="preserve"> </w:t>
            </w:r>
            <w:r>
              <w:t xml:space="preserve">place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International transfers (Chapter V)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ledger and off-chain</w:t>
            </w:r>
            <w:r>
              <w:t xml:space="preserve"> </w:t>
            </w:r>
            <w:r>
              <w:t xml:space="preserve">reconciling store: EU-region hosting, no transfer. IDV provider: SCCs</w:t>
            </w:r>
            <w:r>
              <w:t xml:space="preserve"> </w:t>
            </w:r>
            <w:r>
              <w:t xml:space="preserve">applied where provider operates outside EEA; separate Chapter V</w:t>
            </w:r>
            <w:r>
              <w:t xml:space="preserve"> </w:t>
            </w:r>
            <w:r>
              <w:t xml:space="preserve">assessment documented.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EU data residency for primary processing; SCC</w:t>
            </w:r>
            <w:r>
              <w:t xml:space="preserve"> </w:t>
            </w:r>
            <w:r>
              <w:t xml:space="preserve">coverage for IDV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 / In progress</w:t>
            </w:r>
          </w:p>
        </w:tc>
      </w:tr>
    </w:tbl>
    <w:bookmarkEnd w:id="38"/>
    <w:bookmarkStart w:id="39" w:name="X38c584364dcc50ac437ce6cab6d100dda9451ac"/>
    <w:p>
      <w:pPr>
        <w:numPr>
          <w:ilvl w:val="2"/>
          <w:numId w:val="1001"/>
        </w:numPr>
        <w:pStyle w:val="Heading4"/>
      </w:pPr>
      <w:r>
        <w:t xml:space="preserve">Measures Supporting Data Protection by Design and by Default</w:t>
      </w:r>
      <w:r>
        <w:t xml:space="preserve"> </w:t>
      </w:r>
      <w:r>
        <w:t xml:space="preserve">(Article 25</w:t>
      </w:r>
      <w:r>
        <w:t xml:space="preserve"> </w:t>
      </w:r>
      <w:r>
        <w:t xml:space="preserve">GDPR)</w:t>
      </w:r>
    </w:p>
    <w:p>
      <w:pPr>
        <w:pStyle w:val="FirstParagraph"/>
      </w:pPr>
      <w:r>
        <w:rPr>
          <w:b/>
          <w:bCs/>
        </w:rPr>
        <w:t xml:space="preserve">State-space exclusion — primary architectural measure:</w:t>
      </w:r>
    </w:p>
    <w:p>
      <w:pPr>
        <w:pStyle w:val="BodyText"/>
      </w:pPr>
      <w:r>
        <w:t xml:space="preserve">The Shyware SDK enforces data protection by design through the rejection</w:t>
      </w:r>
      <w:r>
        <w:t xml:space="preserve"> </w:t>
      </w:r>
      <w:r>
        <w:t xml:space="preserve">predicate: the state machine refuses any state transition that would</w:t>
      </w:r>
      <w:r>
        <w:t xml:space="preserve"> </w:t>
      </w:r>
      <w:r>
        <w:t xml:space="preserve">write a record containing sufficient information to derive an</w:t>
      </w:r>
      <w:r>
        <w:t xml:space="preserve"> </w:t>
      </w:r>
      <w:r>
        <w:t xml:space="preserve">association between a List 1 entry (behavioral payload) and a List 2</w:t>
      </w:r>
      <w:r>
        <w:t xml:space="preserve"> </w:t>
      </w:r>
      <w:r>
        <w:t xml:space="preserve">entry (identity hash). This is not a policy, a configuration option, or</w:t>
      </w:r>
      <w:r>
        <w:t xml:space="preserve"> </w:t>
      </w:r>
      <w:r>
        <w:t xml:space="preserve">an access control — it is a property of the reachable canonical state</w:t>
      </w:r>
      <w:r>
        <w:t xml:space="preserve"> </w:t>
      </w:r>
      <w:r>
        <w:t xml:space="preserve">space. No operator-level query can reconstruct the identity-behavior</w:t>
      </w:r>
      <w:r>
        <w:t xml:space="preserve"> </w:t>
      </w:r>
      <w:r>
        <w:t xml:space="preserve">join because canonical state never contained the join.</w:t>
      </w:r>
    </w:p>
    <w:p>
      <w:pPr>
        <w:pStyle w:val="BodyText"/>
      </w:pPr>
      <w:r>
        <w:t xml:space="preserve">This supports Article 25 GDPR at the canonical state-machine layer. The Austrian</w:t>
      </w:r>
      <w:r>
        <w:t xml:space="preserve"> </w:t>
      </w:r>
      <w:r>
        <w:t xml:space="preserve">DSB’s 2022 Google Analytics decision found that pseudonymization</w:t>
      </w:r>
      <w:r>
        <w:t xml:space="preserve"> </w:t>
      </w:r>
      <w:r>
        <w:t xml:space="preserve">retaining a join capability — even if not routinely exercised —</w:t>
      </w:r>
      <w:r>
        <w:t xml:space="preserve"> </w:t>
      </w:r>
      <w:r>
        <w:t xml:space="preserve">constitutes personal data processing because the operator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derive the association. The Shyware architecture eliminates that specific</w:t>
      </w:r>
      <w:r>
        <w:t xml:space="preserve"> </w:t>
      </w:r>
      <w:r>
        <w:t xml:space="preserve">canonical-state representability risk: reachable canonical state does not</w:t>
      </w:r>
      <w:r>
        <w:t xml:space="preserve"> </w:t>
      </w:r>
      <w:r>
        <w:t xml:space="preserve">contain sufficient information for the join regardless of operator</w:t>
      </w:r>
      <w:r>
        <w:t xml:space="preserve"> </w:t>
      </w:r>
      <w:r>
        <w:t xml:space="preserve">capability or intent. Other operational risk surfaces remain separately</w:t>
      </w:r>
      <w:r>
        <w:t xml:space="preserve"> </w:t>
      </w:r>
      <w:r>
        <w:t xml:space="preserve">assessed in this DPIA.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Austrian DSB Decision D155.027 (January 2022);</w:t>
      </w:r>
      <w:r>
        <w:t xml:space="preserve"> </w:t>
      </w:r>
      <w:r>
        <w:t xml:space="preserve">German SDM v3.1, Protection Goal: Unlinkability; BfDI Technical Guidance</w:t>
      </w:r>
      <w:r>
        <w:t xml:space="preserve"> </w:t>
      </w:r>
      <w:r>
        <w:t xml:space="preserve">on Unlinkability (June 2025).</w:t>
      </w:r>
    </w:p>
    <w:p>
      <w:pPr>
        <w:pStyle w:val="BodyText"/>
      </w:pPr>
      <w:r>
        <w:rPr>
          <w:b/>
          <w:bCs/>
        </w:rPr>
        <w:t xml:space="preserve">Default minimization:</w:t>
      </w:r>
      <w:r>
        <w:t xml:space="preserve"> </w:t>
      </w:r>
      <w:r>
        <w:t xml:space="preserve">Aggregate-only analytics by default.</w:t>
      </w:r>
      <w:r>
        <w:t xml:space="preserve"> </w:t>
      </w:r>
      <w:r>
        <w:t xml:space="preserve">User-authenticated reconciling access available on request.</w:t>
      </w:r>
      <w:r>
        <w:t xml:space="preserve"> </w:t>
      </w:r>
      <w:r>
        <w:t xml:space="preserve">Operator-level behavioral history unavailable by design.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182"/>
        <w:gridCol w:w="4680"/>
        <w:gridCol w:w="1498"/>
      </w:tblGrid>
      <w:tr>
        <w:trPr>
          <w:tblHeader w:val="on"/>
        </w:trPr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Measure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Appropriateness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State-space exclusion (rejection predicate)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Architectural; satisfies</w:t>
            </w:r>
            <w:r>
              <w:t xml:space="preserve"> </w:t>
            </w:r>
            <w:r>
              <w:t xml:space="preserve">Article 25 at design layer independently of organizational controls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AES-256-GCM payload sealing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Content inaccessible without sealer key;</w:t>
            </w:r>
            <w:r>
              <w:t xml:space="preserve"> </w:t>
            </w:r>
            <w:r>
              <w:t xml:space="preserve">sealer key excluded from canonical state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Non-composable reconciling interface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Per-user only; no cross-user</w:t>
            </w:r>
            <w:r>
              <w:t xml:space="preserve"> </w:t>
            </w:r>
            <w:r>
              <w:t xml:space="preserve">queries; no reverse lookup; non-enumerable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Default aggregate-only posture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 opt-in required; maximum privacy</w:t>
            </w:r>
            <w:r>
              <w:t xml:space="preserve"> </w:t>
            </w:r>
            <w:r>
              <w:t xml:space="preserve">enforced by default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</w:tbl>
    <w:bookmarkEnd w:id="39"/>
    <w:bookmarkStart w:id="40" w:name="X3873dfe806c5ffea11cabbcecc4b8582ea49a34"/>
    <w:p>
      <w:pPr>
        <w:numPr>
          <w:ilvl w:val="2"/>
          <w:numId w:val="1001"/>
        </w:numPr>
        <w:pStyle w:val="Heading4"/>
      </w:pPr>
      <w:r>
        <w:t xml:space="preserve">Measures Supporting Security of Processing (Article 32</w:t>
      </w:r>
      <w:r>
        <w:t xml:space="preserve"> </w:t>
      </w:r>
      <w:r>
        <w:t xml:space="preserve">GDPR)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838"/>
        <w:gridCol w:w="4212"/>
        <w:gridCol w:w="1310"/>
      </w:tblGrid>
      <w:tr>
        <w:trPr>
          <w:tblHeader w:val="on"/>
        </w:trPr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Measure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Appropriateness</w:t>
            </w:r>
          </w:p>
        </w:tc>
        <w:tc>
          <w:tcPr>
            <w:tcW w:type="pct" w:w="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AES-256-GCM payload sealing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Industry standard; FIPS 140-2 compliant</w:t>
            </w:r>
          </w:p>
        </w:tc>
        <w:tc>
          <w:tcPr>
            <w:tcW w:type="pct" w:w="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TLS 1.3 in transit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Standard transport security</w:t>
            </w:r>
          </w:p>
        </w:tc>
        <w:tc>
          <w:tcPr>
            <w:tcW w:type="pct" w:w="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HSM-backed period-close signing (AWS KMS ECC_NIST_P256, FIPS 140-3 L3)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Hardware-enforced; no key material exposure</w:t>
            </w:r>
          </w:p>
        </w:tc>
        <w:tc>
          <w:tcPr>
            <w:tcW w:type="pct" w:w="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BFT distributed ledger consensus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Byzantine fault tolerant; no single</w:t>
            </w:r>
            <w:r>
              <w:t xml:space="preserve"> </w:t>
            </w:r>
            <w:r>
              <w:t xml:space="preserve">point of failure for canonical state</w:t>
            </w:r>
          </w:p>
        </w:tc>
        <w:tc>
          <w:tcPr>
            <w:tcW w:type="pct" w:w="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CockroachDB EU-region, encryption at rest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Standard cloud database</w:t>
            </w:r>
            <w:r>
              <w:t xml:space="preserve"> </w:t>
            </w:r>
            <w:r>
              <w:t xml:space="preserve">security</w:t>
            </w:r>
          </w:p>
        </w:tc>
        <w:tc>
          <w:tcPr>
            <w:tcW w:type="pct" w:w="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Identity-gated reconciling API (IDV re-auth per request)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 anonymous</w:t>
            </w:r>
            <w:r>
              <w:t xml:space="preserve"> </w:t>
            </w:r>
            <w:r>
              <w:t xml:space="preserve">access; no session persistence</w:t>
            </w:r>
          </w:p>
        </w:tc>
        <w:tc>
          <w:tcPr>
            <w:tcW w:type="pct" w:w="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Signed SDK releases, reproducible builds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Supply chain integrity of</w:t>
            </w:r>
            <w:r>
              <w:t xml:space="preserve"> </w:t>
            </w:r>
            <w:r>
              <w:t xml:space="preserve">rejection predicate</w:t>
            </w:r>
          </w:p>
        </w:tc>
        <w:tc>
          <w:tcPr>
            <w:tcW w:type="pct" w:w="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Planned (pre-launch)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6" w:name="X9d26782b5dad5748b3390c329c2db7cf91552d8"/>
    <w:p>
      <w:pPr>
        <w:numPr>
          <w:ilvl w:val="0"/>
          <w:numId w:val="1001"/>
        </w:numPr>
        <w:pStyle w:val="Heading2"/>
      </w:pPr>
      <w:r>
        <w:t xml:space="preserve">CONSIDERATIONS ON NECESSITY AND</w:t>
      </w:r>
      <w:r>
        <w:t xml:space="preserve"> </w:t>
      </w:r>
      <w:r>
        <w:t xml:space="preserve">PROPORTIONALITY</w:t>
      </w:r>
    </w:p>
    <w:bookmarkStart w:id="43" w:name="impacts-on-rights-and-freedoms"/>
    <w:p>
      <w:pPr>
        <w:numPr>
          <w:ilvl w:val="1"/>
          <w:numId w:val="1001"/>
        </w:numPr>
        <w:pStyle w:val="Heading3"/>
      </w:pPr>
      <w:r>
        <w:t xml:space="preserve">Impacts on Rights and</w:t>
      </w:r>
      <w:r>
        <w:t xml:space="preserve"> </w:t>
      </w:r>
      <w:r>
        <w:t xml:space="preserve">Freedoms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059"/>
        <w:gridCol w:w="2714"/>
        <w:gridCol w:w="1591"/>
        <w:gridCol w:w="2995"/>
      </w:tblGrid>
      <w:tr>
        <w:trPr>
          <w:tblHeader w:val="on"/>
        </w:trPr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Threat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How it can materialise</w:t>
            </w:r>
          </w:p>
        </w:tc>
        <w:tc>
          <w:tcPr>
            <w:tcW w:type="pct" w:w="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Risk Source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Impact on Rights</w:t>
            </w:r>
          </w:p>
        </w:tc>
      </w:tr>
      <w:tr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Re-identification via operator enumeration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Operator queries canonical</w:t>
            </w:r>
            <w:r>
              <w:t xml:space="preserve"> </w:t>
            </w:r>
            <w:r>
              <w:t xml:space="preserve">state to link identity to behavior</w:t>
            </w:r>
          </w:p>
        </w:tc>
        <w:tc>
          <w:tcPr>
            <w:tcW w:type="pct" w:w="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Architectural gap allowing join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Not applicable — canonical state structurally excludes join key;</w:t>
            </w:r>
            <w:r>
              <w:t xml:space="preserve"> </w:t>
            </w:r>
            <w:r>
              <w:t xml:space="preserve">rejection predicate prevents this reachable state</w:t>
            </w:r>
          </w:p>
        </w:tc>
      </w:tr>
      <w:tr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Sealed payload decryption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 compromised</w:t>
            </w:r>
          </w:p>
        </w:tc>
        <w:tc>
          <w:tcPr>
            <w:tcW w:type="pct" w:w="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Key management</w:t>
            </w:r>
            <w:r>
              <w:t xml:space="preserve"> </w:t>
            </w:r>
            <w:r>
              <w:t xml:space="preserve">failure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Behavioral content exposed; identity still not linkable</w:t>
            </w:r>
            <w:r>
              <w:t xml:space="preserve"> </w:t>
            </w:r>
            <w:r>
              <w:t xml:space="preserve">without canonical join key</w:t>
            </w:r>
          </w:p>
        </w:tc>
      </w:tr>
      <w:tr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reconciling store breach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Database compromise</w:t>
            </w:r>
          </w:p>
        </w:tc>
        <w:tc>
          <w:tcPr>
            <w:tcW w:type="pct" w:w="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Infrastructure vulnerability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Per-user behavioral history exposed for</w:t>
            </w:r>
            <w:r>
              <w:t xml:space="preserve"> </w:t>
            </w:r>
            <w:r>
              <w:t xml:space="preserve">affected users; mitigated by identity-gating and encryption at rest</w:t>
            </w:r>
          </w:p>
        </w:tc>
      </w:tr>
      <w:tr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provider compromise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credential theft or breach</w:t>
            </w:r>
          </w:p>
        </w:tc>
        <w:tc>
          <w:tcPr>
            <w:tcW w:type="pct" w:w="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Third-party</w:t>
            </w:r>
            <w:r>
              <w:t xml:space="preserve"> </w:t>
            </w:r>
            <w:r>
              <w:t xml:space="preserve">risk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re-derivation risk; behavioral history not exposed</w:t>
            </w:r>
            <w:r>
              <w:t xml:space="preserve"> </w:t>
            </w:r>
            <w:r>
              <w:t xml:space="preserve">without separate reconciling store breach</w:t>
            </w:r>
          </w:p>
        </w:tc>
      </w:tr>
      <w:tr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Coercion / compelled delegation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 forced to share reconciling</w:t>
            </w:r>
            <w:r>
              <w:t xml:space="preserve"> </w:t>
            </w:r>
            <w:r>
              <w:t xml:space="preserve">history</w:t>
            </w:r>
          </w:p>
        </w:tc>
        <w:tc>
          <w:tcPr>
            <w:tcW w:type="pct" w:w="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Social or contractual pressure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User-initiated delegation is</w:t>
            </w:r>
            <w:r>
              <w:t xml:space="preserve"> </w:t>
            </w:r>
            <w:r>
              <w:t xml:space="preserve">voluntary and authenticated; operator cannot compel via API</w:t>
            </w:r>
          </w:p>
        </w:tc>
      </w:tr>
    </w:tbl>
    <w:bookmarkEnd w:id="43"/>
    <w:bookmarkStart w:id="44" w:name="necessity-assessment"/>
    <w:p>
      <w:pPr>
        <w:numPr>
          <w:ilvl w:val="1"/>
          <w:numId w:val="1001"/>
        </w:numPr>
        <w:pStyle w:val="Heading3"/>
      </w:pPr>
      <w:r>
        <w:t xml:space="preserve">Necessity Assessment</w:t>
      </w:r>
    </w:p>
    <w:p>
      <w:pPr>
        <w:pStyle w:val="FirstParagraph"/>
      </w:pPr>
      <w:r>
        <w:t xml:space="preserve">The Shyware architecture implements the minimum necessary processing for</w:t>
      </w:r>
      <w:r>
        <w:t xml:space="preserve"> </w:t>
      </w:r>
      <w:r>
        <w:t xml:space="preserve">behavioral analytics at enterprise scale: no operator-level</w:t>
      </w:r>
      <w:r>
        <w:t xml:space="preserve"> </w:t>
      </w:r>
      <w:r>
        <w:t xml:space="preserve">identity-behavior join is created at any layer. This is the least</w:t>
      </w:r>
      <w:r>
        <w:t xml:space="preserve"> </w:t>
      </w:r>
      <w:r>
        <w:t xml:space="preserve">intrusive design available that satisfies the German SDM unlinkability</w:t>
      </w:r>
      <w:r>
        <w:t xml:space="preserve"> </w:t>
      </w:r>
      <w:r>
        <w:t xml:space="preserve">protection goal and the Austrian DSB’s re-identification standard.</w:t>
      </w:r>
    </w:p>
    <w:p>
      <w:pPr>
        <w:pStyle w:val="BodyText"/>
      </w:pPr>
      <w:r>
        <w:t xml:space="preserve">Alternative architectures assessed and rejected: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276"/>
        <w:gridCol w:w="6084"/>
      </w:tblGrid>
      <w:tr>
        <w:trPr>
          <w:tblHeader w:val="on"/>
        </w:trPr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Alternative</w:t>
            </w:r>
          </w:p>
        </w:tc>
        <w:tc>
          <w:tcPr>
            <w:tcW w:type="pct" w:w="3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Reason Rejected</w:t>
            </w:r>
          </w:p>
        </w:tc>
      </w:tr>
      <w:tr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Server-side tagging / proxy routing</w:t>
            </w:r>
          </w:p>
        </w:tc>
        <w:tc>
          <w:tcPr>
            <w:tcW w:type="pct" w:w="3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Retains identity-behavior join</w:t>
            </w:r>
            <w:r>
              <w:t xml:space="preserve"> </w:t>
            </w:r>
            <w:r>
              <w:t xml:space="preserve">capability at operator level; Austrian DSB found this insufficient</w:t>
            </w:r>
            <w:r>
              <w:t xml:space="preserve"> </w:t>
            </w:r>
            <w:r>
              <w:t xml:space="preserve">(2022); German SDM unlinkability not satisfied</w:t>
            </w:r>
          </w:p>
        </w:tc>
      </w:tr>
      <w:tr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Pseudonymization with lookup table</w:t>
            </w:r>
          </w:p>
        </w:tc>
        <w:tc>
          <w:tcPr>
            <w:tcW w:type="pct" w:w="3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Join key exists in lookup table;</w:t>
            </w:r>
            <w:r>
              <w:t xml:space="preserve"> </w:t>
            </w:r>
            <w:r>
              <w:t xml:space="preserve">operator could derive association; Austrian DSB standard not met</w:t>
            </w:r>
          </w:p>
        </w:tc>
      </w:tr>
      <w:tr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EU data residency only</w:t>
            </w:r>
          </w:p>
        </w:tc>
        <w:tc>
          <w:tcPr>
            <w:tcW w:type="pct" w:w="3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Addresses Schrems II transfer mechanics but not</w:t>
            </w:r>
            <w:r>
              <w:t xml:space="preserve"> </w:t>
            </w:r>
            <w:r>
              <w:t xml:space="preserve">representability risk; identity-behavior join remains in canonical</w:t>
            </w:r>
            <w:r>
              <w:t xml:space="preserve"> </w:t>
            </w:r>
            <w:r>
              <w:t xml:space="preserve">state</w:t>
            </w:r>
          </w:p>
        </w:tc>
      </w:tr>
      <w:tr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Aggregate-only analytics (Plausible / Fathom / Cloudflare)</w:t>
            </w:r>
          </w:p>
        </w:tc>
        <w:tc>
          <w:tcPr>
            <w:tcW w:type="pct" w:w="3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Does not</w:t>
            </w:r>
            <w:r>
              <w:t xml:space="preserve"> </w:t>
            </w:r>
            <w:r>
              <w:t xml:space="preserve">support user-authenticated retrieval, credential-free erasure, or</w:t>
            </w:r>
            <w:r>
              <w:t xml:space="preserve"> </w:t>
            </w:r>
            <w:r>
              <w:t xml:space="preserve">period-close compliance attestation; insufficient for enterprise</w:t>
            </w:r>
            <w:r>
              <w:t xml:space="preserve"> </w:t>
            </w:r>
            <w:r>
              <w:t xml:space="preserve">requirements</w:t>
            </w:r>
          </w:p>
        </w:tc>
      </w:tr>
    </w:tbl>
    <w:bookmarkEnd w:id="44"/>
    <w:bookmarkStart w:id="45" w:name="proportionality-assessment"/>
    <w:p>
      <w:pPr>
        <w:numPr>
          <w:ilvl w:val="1"/>
          <w:numId w:val="1001"/>
        </w:numPr>
        <w:pStyle w:val="Heading3"/>
      </w:pPr>
      <w:r>
        <w:t xml:space="preserve">Proportionality</w:t>
      </w:r>
      <w:r>
        <w:t xml:space="preserve"> </w:t>
      </w:r>
      <w:r>
        <w:t xml:space="preserve">Assessment</w:t>
      </w:r>
    </w:p>
    <w:p>
      <w:pPr>
        <w:pStyle w:val="FirstParagraph"/>
      </w:pPr>
      <w:r>
        <w:t xml:space="preserve">Processing is proportionate. The controller’s legitimate interests</w:t>
      </w:r>
      <w:r>
        <w:t xml:space="preserve"> </w:t>
      </w:r>
      <w:r>
        <w:t xml:space="preserve">(product improvement, service quality, regulatory audit compliance) are</w:t>
      </w:r>
      <w:r>
        <w:t xml:space="preserve"> </w:t>
      </w:r>
      <w:r>
        <w:t xml:space="preserve">balanced against data subject privacy interests. Data subject impact is</w:t>
      </w:r>
      <w:r>
        <w:t xml:space="preserve"> </w:t>
      </w:r>
      <w:r>
        <w:t xml:space="preserve">reduced at the canonical state layer: the canonical state contains no</w:t>
      </w:r>
      <w:r>
        <w:t xml:space="preserve"> </w:t>
      </w:r>
      <w:r>
        <w:t xml:space="preserve">identity-behavior join, so canonical-layer profiling, behavioral</w:t>
      </w:r>
      <w:r>
        <w:t xml:space="preserve"> </w:t>
      </w:r>
      <w:r>
        <w:t xml:space="preserve">surveillance, and re-identification are structurally constrained rather</w:t>
      </w:r>
      <w:r>
        <w:t xml:space="preserve"> </w:t>
      </w:r>
      <w:r>
        <w:t xml:space="preserve">than managed only through organizational controls. Period-close HSM</w:t>
      </w:r>
      <w:r>
        <w:t xml:space="preserve"> </w:t>
      </w:r>
      <w:r>
        <w:t xml:space="preserve">attestation provides regulatory verifiability without individual exposure</w:t>
      </w:r>
      <w:r>
        <w:t xml:space="preserve"> </w:t>
      </w:r>
      <w:r>
        <w:t xml:space="preserve">from canonical state.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7" w:name="risk-assessment-and-management"/>
    <w:p>
      <w:pPr>
        <w:numPr>
          <w:ilvl w:val="0"/>
          <w:numId w:val="1001"/>
        </w:numPr>
        <w:pStyle w:val="Heading2"/>
      </w:pPr>
      <w:r>
        <w:t xml:space="preserve">RISK ASSESSMENT AND</w:t>
      </w:r>
      <w:r>
        <w:t xml:space="preserve"> </w:t>
      </w:r>
      <w:r>
        <w:t xml:space="preserve">MANAGEMENT</w:t>
      </w:r>
    </w:p>
    <w:bookmarkStart w:id="52" w:name="risk-assessment-and-management-1"/>
    <w:p>
      <w:pPr>
        <w:numPr>
          <w:ilvl w:val="1"/>
          <w:numId w:val="1001"/>
        </w:numPr>
        <w:pStyle w:val="Heading3"/>
      </w:pPr>
      <w:r>
        <w:t xml:space="preserve">Risk Assessment and</w:t>
      </w:r>
      <w:r>
        <w:t xml:space="preserve"> </w:t>
      </w:r>
      <w:r>
        <w:t xml:space="preserve">Management</w:t>
      </w:r>
    </w:p>
    <w:bookmarkStart w:id="47" w:name="threats"/>
    <w:p>
      <w:pPr>
        <w:numPr>
          <w:ilvl w:val="2"/>
          <w:numId w:val="1001"/>
        </w:numPr>
        <w:pStyle w:val="Heading4"/>
      </w:pPr>
      <w:r>
        <w:t xml:space="preserve">Threats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68"/>
        <w:gridCol w:w="2246"/>
        <w:gridCol w:w="2059"/>
        <w:gridCol w:w="1498"/>
        <w:gridCol w:w="3089"/>
      </w:tblGrid>
      <w:tr>
        <w:trPr>
          <w:tblHeader w:val="on"/>
        </w:trP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Threat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Materialisation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Risk Source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Impact on Data Subjects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state breach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Attacker extracts full ledger state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Infrastructure vulnerability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Session identifiers and sealed payloads</w:t>
            </w:r>
            <w:r>
              <w:t xml:space="preserve"> </w:t>
            </w:r>
            <w:r>
              <w:t xml:space="preserve">exposed; identity hashes exposed; no join derivable from canonical state</w:t>
            </w:r>
            <w:r>
              <w:t xml:space="preserve"> </w:t>
            </w:r>
            <w:r>
              <w:t xml:space="preserve">alone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reconciling store breach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Database compromise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Infrastructure vulnerability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Per-user behavioral history exposed for</w:t>
            </w:r>
            <w:r>
              <w:t xml:space="preserve"> </w:t>
            </w:r>
            <w:r>
              <w:t xml:space="preserve">affected authenticated users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 compromise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 stolen or leaked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Key management</w:t>
            </w:r>
            <w:r>
              <w:t xml:space="preserve"> </w:t>
            </w:r>
            <w:r>
              <w:t xml:space="preserve">failure; internal threat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Sealed behavioral payloads decryptable;</w:t>
            </w:r>
            <w:r>
              <w:t xml:space="preserve"> </w:t>
            </w:r>
            <w:r>
              <w:t xml:space="preserve">identity-behavior join still not available without canonical join key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provider breach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credential database or signing key</w:t>
            </w:r>
            <w:r>
              <w:t xml:space="preserve"> </w:t>
            </w:r>
            <w:r>
              <w:t xml:space="preserve">compromised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Third-party risk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re-derivation risk; behavioral</w:t>
            </w:r>
            <w:r>
              <w:t xml:space="preserve"> </w:t>
            </w:r>
            <w:r>
              <w:t xml:space="preserve">history not exposed without separate reconciling store breach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API authentication bypass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Auth layer circumvented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Implementation vulnerability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Per-user history exposed without user</w:t>
            </w:r>
            <w:r>
              <w:t xml:space="preserve"> </w:t>
            </w:r>
            <w:r>
              <w:t xml:space="preserve">participation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SDK supply chain compromise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Malicious or tampered SDK version</w:t>
            </w:r>
            <w:r>
              <w:t xml:space="preserve"> </w:t>
            </w:r>
            <w:r>
              <w:t xml:space="preserve">distributed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Supply chain attack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Rejection predicate bypassed;</w:t>
            </w:r>
            <w:r>
              <w:t xml:space="preserve"> </w:t>
            </w:r>
            <w:r>
              <w:t xml:space="preserve">canonical join written; structural guarantee broken</w:t>
            </w:r>
          </w:p>
        </w:tc>
      </w:tr>
    </w:tbl>
    <w:bookmarkEnd w:id="47"/>
    <w:bookmarkStart w:id="48" w:name="method"/>
    <w:p>
      <w:pPr>
        <w:numPr>
          <w:ilvl w:val="2"/>
          <w:numId w:val="1001"/>
        </w:numPr>
        <w:pStyle w:val="Heading4"/>
      </w:pPr>
      <w:r>
        <w:t xml:space="preserve">Method</w:t>
      </w:r>
    </w:p>
    <w:p>
      <w:pPr>
        <w:pStyle w:val="FirstParagraph"/>
      </w:pPr>
      <w:r>
        <w:t xml:space="preserve">Likelihood scale: 1 (Negligible) — 2 (Limited) — 3 (Significant) —</w:t>
      </w:r>
      <w:r>
        <w:t xml:space="preserve"> </w:t>
      </w:r>
      <w:r>
        <w:t xml:space="preserve">4 (Maximum)</w:t>
      </w:r>
    </w:p>
    <w:p>
      <w:pPr>
        <w:pStyle w:val="BodyText"/>
      </w:pPr>
      <w:r>
        <w:t xml:space="preserve">Severity scale: 1 (Negligible) — 2 (Limited) — 3 (Significant) — 4</w:t>
      </w:r>
      <w:r>
        <w:t xml:space="preserve"> </w:t>
      </w:r>
      <w:r>
        <w:t xml:space="preserve">(Maximum)</w:t>
      </w:r>
    </w:p>
    <w:p>
      <w:pPr>
        <w:pStyle w:val="BodyText"/>
      </w:pPr>
      <w:r>
        <w:t xml:space="preserve">Risk level: Likelihood × Severity. Acceptable residual threshold: ≤ 4.</w:t>
      </w:r>
      <w:r>
        <w:t xml:space="preserve"> </w:t>
      </w:r>
      <w:r>
        <w:t xml:space="preserve">Risks scoring 5–6 inherently require mitigating measures before</w:t>
      </w:r>
      <w:r>
        <w:t xml:space="preserve"> </w:t>
      </w:r>
      <w:r>
        <w:t xml:space="preserve">proceeding.</w:t>
      </w:r>
    </w:p>
    <w:p>
      <w:pPr>
        <w:pStyle w:val="BodyText"/>
      </w:pPr>
      <w:r>
        <w:t xml:space="preserve">Modulating factors: structural non-representability of canonical state</w:t>
      </w:r>
      <w:r>
        <w:t xml:space="preserve"> </w:t>
      </w:r>
      <w:r>
        <w:t xml:space="preserve">is a downward-modulating factor for all threats involving canonical</w:t>
      </w:r>
      <w:r>
        <w:t xml:space="preserve"> </w:t>
      </w:r>
      <w:r>
        <w:t xml:space="preserve">ledger breach.</w:t>
      </w:r>
    </w:p>
    <w:p>
      <w:pPr>
        <w:pStyle w:val="BodyText"/>
      </w:pPr>
      <w:r>
        <w:t xml:space="preserve">Patent-alignment note: this DPIA is the assessment vehicle for the</w:t>
      </w:r>
      <w:r>
        <w:t xml:space="preserve"> </w:t>
      </w:r>
      <w:r>
        <w:t xml:space="preserve">Mainhub patent posture. The write-side guarantee is canonical-state</w:t>
      </w:r>
      <w:r>
        <w:t xml:space="preserve"> </w:t>
      </w:r>
      <w:r>
        <w:t xml:space="preserve">non-representability: accepted canonical state contains no</w:t>
      </w:r>
      <w:r>
        <w:t xml:space="preserve"> </w:t>
      </w:r>
      <w:r>
        <w:t xml:space="preserve">identity–payload join, no shared observable, and no validator-accepted</w:t>
      </w:r>
      <w:r>
        <w:t xml:space="preserve"> </w:t>
      </w:r>
      <w:r>
        <w:t xml:space="preserve">execution path that computes the participant-specific association from</w:t>
      </w:r>
      <w:r>
        <w:t xml:space="preserve"> </w:t>
      </w:r>
      <w:r>
        <w:t xml:space="preserve">canonical state alone. The reconcile-side control is separate: any</w:t>
      </w:r>
      <w:r>
        <w:t xml:space="preserve"> </w:t>
      </w:r>
      <w:r>
        <w:t xml:space="preserve">recovery, reveal, deletion, restore, redeem, or presence-check workflow</w:t>
      </w:r>
      <w:r>
        <w:t xml:space="preserve"> </w:t>
      </w:r>
      <w:r>
        <w:t xml:space="preserve">must use protected linkage, non-enumerable single-subject retrieval, and</w:t>
      </w:r>
      <w:r>
        <w:t xml:space="preserve"> </w:t>
      </w:r>
      <w:r>
        <w:t xml:space="preserve">provider/authority partitioning. This combined posture does not eliminate</w:t>
      </w:r>
      <w:r>
        <w:t xml:space="preserve"> </w:t>
      </w:r>
      <w:r>
        <w:t xml:space="preserve">risk in the full system. Protected linkage stores, reconciling</w:t>
      </w:r>
      <w:r>
        <w:t xml:space="preserve"> </w:t>
      </w:r>
      <w:r>
        <w:t xml:space="preserve">interfaces, IDV or wallet providers, endpoint/browser state, network</w:t>
      </w:r>
      <w:r>
        <w:t xml:space="preserve"> </w:t>
      </w:r>
      <w:r>
        <w:t xml:space="preserve">timing, controller configuration, and compelled disclosure remain DPIA</w:t>
      </w:r>
      <w:r>
        <w:t xml:space="preserve"> </w:t>
      </w:r>
      <w:r>
        <w:t xml:space="preserve">risk surfaces.</w:t>
      </w:r>
    </w:p>
    <w:bookmarkEnd w:id="48"/>
    <w:bookmarkStart w:id="49" w:name="provider-partition-assessment"/>
    <w:p>
      <w:pPr>
        <w:numPr>
          <w:ilvl w:val="2"/>
          <w:numId w:val="1001"/>
        </w:numPr>
        <w:pStyle w:val="Heading4"/>
      </w:pPr>
      <w:r>
        <w:t xml:space="preserve">Provider Partition Assessment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872"/>
        <w:gridCol w:w="2714"/>
        <w:gridCol w:w="2714"/>
        <w:gridCol w:w="2059"/>
      </w:tblGrid>
      <w:tr>
        <w:trPr>
          <w:tblHeader w:val="on"/>
        </w:trP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 / provider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Permitted visibility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Must not hold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DPIA assessment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or authentication provider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Real-world identity, biometric/session evidence, and identity commitment derivation inputs as configured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Behavioral payload, protected linkage table, or canonical commit authority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Must not deanonymize alone; residual risk remains if IDV and linkage roles are consolidated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Protected linkage store provider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commitment to submission identifier or recovery reference for the authenticated user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Real-world identity, behavioral payload, bulk export authority, or ordinary canonical write authority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High-risk component; acceptable only with tenant scoping, audit logs, retention limits, and no bulk/enumerable access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authority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Fresh authenticated request, one permitted action, and at most one payload-free reference per invocation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Iterable domain, reverse lookup, payload content, or ordinary commit keyset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Must remain non-composable and single-subject; any bulk tool requires separate DPIA review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commit authority / validators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List 1 and List 2 records, aggregate evidence, and state-transition validation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records, protected linkage store, sealer keys, or join-capable intermediate state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Patent-aligned only if rejection predicate and intermediate-state exclusion are implemented and linked to engineering evidence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Telemetry / support provider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Operational metrics and support artifacts necessary to run the service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hashes, proof hashes, nonces, protected linkage rows, sealed payload plaintext, or recovery outputs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Logging exclusions require production evidence before launch</w:t>
            </w:r>
          </w:p>
        </w:tc>
      </w:tr>
    </w:tbl>
    <w:bookmarkEnd w:id="49"/>
    <w:bookmarkStart w:id="50" w:name="dpia-audit-findings-browser-analytics"/>
    <w:p>
      <w:pPr>
        <w:numPr>
          <w:ilvl w:val="2"/>
          <w:numId w:val="1001"/>
        </w:numPr>
        <w:pStyle w:val="Heading4"/>
      </w:pPr>
      <w:r>
        <w:t xml:space="preserve">DPIA Audit Findings</w:t>
      </w:r>
    </w:p>
    <w:p>
      <w:pPr>
        <w:pStyle w:val="FirstParagraph"/>
      </w:pPr>
      <w:r>
        <w:t xml:space="preserve">This DPIA is the audit record for the browser analytics processing pattern. The scored risk tables below assess the canonical-state guarantee, protected-linkage and reconcile tier, provider partitioning, endpoint/browser exposure, network correlation, IDV or wallet provider risk, and controller-configuration risk. No separate patent-alignment audit is relied on for this processing decision.</w:t>
      </w:r>
    </w:p>
    <w:bookmarkEnd w:id="50"/>
    <w:bookmarkStart w:id="51" w:name="inherent-risk-assessment"/>
    <w:p>
      <w:pPr>
        <w:numPr>
          <w:ilvl w:val="2"/>
          <w:numId w:val="1001"/>
        </w:numPr>
        <w:pStyle w:val="Heading4"/>
      </w:pPr>
      <w:r>
        <w:t xml:space="preserve">Inherent Risk Assessment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527"/>
        <w:gridCol w:w="655"/>
        <w:gridCol w:w="655"/>
        <w:gridCol w:w="3744"/>
        <w:gridCol w:w="655"/>
        <w:gridCol w:w="1123"/>
      </w:tblGrid>
      <w:tr>
        <w:trPr>
          <w:tblHeader w:val="on"/>
        </w:trP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Likelihood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Severity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Modulating Factors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Risk Level</w:t>
            </w:r>
          </w:p>
        </w:tc>
        <w:tc>
          <w:tcPr>
            <w:tcW w:type="pct" w:w="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Acceptable?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state breach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Structural: no join in canonical state</w:t>
            </w:r>
            <w:r>
              <w:t xml:space="preserve"> </w:t>
            </w:r>
            <w:r>
              <w:t xml:space="preserve">limits harm materially even on full breach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(inherent)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store breach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Identity-gated access limits exposure</w:t>
            </w:r>
            <w:r>
              <w:t xml:space="preserve"> </w:t>
            </w:r>
            <w:r>
              <w:t xml:space="preserve">to individually authenticated users only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mitigation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 compromise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HSM-backed; key rotation; join still</w:t>
            </w:r>
            <w:r>
              <w:t xml:space="preserve"> </w:t>
            </w:r>
            <w:r>
              <w:t xml:space="preserve">unavailable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provider breach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Third-party controls; behavioral history</w:t>
            </w:r>
            <w:r>
              <w:t xml:space="preserve"> </w:t>
            </w:r>
            <w:r>
              <w:t xml:space="preserve">not held by IDV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API auth bypass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re-auth per request; no</w:t>
            </w:r>
            <w:r>
              <w:t xml:space="preserve"> </w:t>
            </w:r>
            <w:r>
              <w:t xml:space="preserve">session persistence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SDK supply chain compromise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Signed releases; open-source</w:t>
            </w:r>
            <w:r>
              <w:t xml:space="preserve"> </w:t>
            </w:r>
            <w:r>
              <w:t xml:space="preserve">audit; patent-documented rejection predicate as reference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51"/>
    <w:bookmarkEnd w:id="52"/>
    <w:bookmarkStart w:id="56" w:name="action-plan"/>
    <w:p>
      <w:pPr>
        <w:numPr>
          <w:ilvl w:val="1"/>
          <w:numId w:val="1001"/>
        </w:numPr>
        <w:pStyle w:val="Heading3"/>
      </w:pPr>
      <w:r>
        <w:t xml:space="preserve">Action Plan</w:t>
      </w:r>
    </w:p>
    <w:bookmarkStart w:id="53" w:name="additional-mitigating-measures"/>
    <w:p>
      <w:pPr>
        <w:numPr>
          <w:ilvl w:val="2"/>
          <w:numId w:val="1001"/>
        </w:numPr>
        <w:pStyle w:val="Heading4"/>
      </w:pPr>
      <w:r>
        <w:t xml:space="preserve">Additional Mitigating</w:t>
      </w:r>
      <w:r>
        <w:t xml:space="preserve"> </w:t>
      </w:r>
      <w:r>
        <w:t xml:space="preserve">Measures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68"/>
        <w:gridCol w:w="3276"/>
        <w:gridCol w:w="2434"/>
        <w:gridCol w:w="2434"/>
        <w:gridCol w:w="749"/>
      </w:tblGrid>
      <w:tr>
        <w:trPr>
          <w:tblHeader w:val="on"/>
        </w:trP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Measure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Mitigated Risk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Effectiveness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Encryption at rest — CockroachDB EU-region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store</w:t>
            </w:r>
            <w:r>
              <w:t xml:space="preserve"> </w:t>
            </w:r>
            <w:r>
              <w:t xml:space="preserve">breach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Standard; reduces severity from 3 to 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Annual independent security audit of SDK rejection predicate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Supply chain / implementation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 — predicate is the core</w:t>
            </w:r>
            <w:r>
              <w:t xml:space="preserve"> </w:t>
            </w:r>
            <w:r>
              <w:t xml:space="preserve">structural guarantee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Planned (pre-launch)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re-authentication on every reconciling request (no session</w:t>
            </w:r>
            <w:r>
              <w:t xml:space="preserve"> </w:t>
            </w:r>
            <w:r>
              <w:t xml:space="preserve">persistence)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API auth bypass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 — eliminates session</w:t>
            </w:r>
            <w:r>
              <w:t xml:space="preserve"> </w:t>
            </w:r>
            <w:r>
              <w:t xml:space="preserve">hijack vector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 rotation policy (quarterly) with HSM custody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</w:t>
            </w:r>
            <w:r>
              <w:t xml:space="preserve"> </w:t>
            </w:r>
            <w:r>
              <w:t xml:space="preserve">compromise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Standard; limits exposure window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Planned (pre-launch)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Signed SDK releases with reproducible build verification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Supply</w:t>
            </w:r>
            <w:r>
              <w:t xml:space="preserve"> </w:t>
            </w:r>
            <w:r>
              <w:t xml:space="preserve">chain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 — detectable tampering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Planned (pre-launch)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Protected-linkage controls: provider partitioning between linkage</w:t>
            </w:r>
            <w:r>
              <w:t xml:space="preserve"> </w:t>
            </w:r>
            <w:r>
              <w:t xml:space="preserve">store, IDV/auth provider, and reconciling authority where supported;</w:t>
            </w:r>
            <w:r>
              <w:t xml:space="preserve"> </w:t>
            </w:r>
            <w:r>
              <w:t xml:space="preserve">tenant scoping; least-privilege operator access; reconcile audit logs;</w:t>
            </w:r>
            <w:r>
              <w:t xml:space="preserve"> </w:t>
            </w:r>
            <w:r>
              <w:t xml:space="preserve">retention limits; and dual-control review for non-user-initiated</w:t>
            </w:r>
            <w:r>
              <w:t xml:space="preserve"> </w:t>
            </w:r>
            <w:r>
              <w:t xml:space="preserve">reconcile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 and lawful process misuse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 —</w:t>
            </w:r>
            <w:r>
              <w:t xml:space="preserve"> </w:t>
            </w:r>
            <w:r>
              <w:t xml:space="preserve">prevents any ordinary single provider from reconstructing the full</w:t>
            </w:r>
            <w:r>
              <w:t xml:space="preserve"> </w:t>
            </w:r>
            <w:r>
              <w:t xml:space="preserve">identity–payload association and aligns the operational tier with the</w:t>
            </w:r>
            <w:r>
              <w:t xml:space="preserve"> </w:t>
            </w:r>
            <w:r>
              <w:t xml:space="preserve">patent’s protected linkage store constraint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Planned (pre-launch)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Browser/endpoint controls: session sealing, ingress shuffling,</w:t>
            </w:r>
            <w:r>
              <w:t xml:space="preserve"> </w:t>
            </w:r>
            <w:r>
              <w:t xml:space="preserve">write-only fallback, one-tap local wipe, and explicit no-global-adversary</w:t>
            </w:r>
            <w:r>
              <w:t xml:space="preserve"> </w:t>
            </w:r>
            <w:r>
              <w:t xml:space="preserve">claim boundary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Endpoint, local, and network correlation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Medium/High</w:t>
            </w:r>
            <w:r>
              <w:t xml:space="preserve"> </w:t>
            </w:r>
            <w:r>
              <w:t xml:space="preserve">— reduces correlation risk but does not replace Tor/VPN/opsec for</w:t>
            </w:r>
            <w:r>
              <w:t xml:space="preserve"> </w:t>
            </w:r>
            <w:r>
              <w:t xml:space="preserve">high-threat users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Partially implemented; deployment-dependent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Domain-gating review before reuse outside browser analytics:</w:t>
            </w:r>
            <w:r>
              <w:t xml:space="preserve"> </w:t>
            </w:r>
            <w:r>
              <w:t xml:space="preserve">customer DPIA trigger, legal-basis check, identity-mode selection, and</w:t>
            </w:r>
            <w:r>
              <w:t xml:space="preserve"> </w:t>
            </w:r>
            <w:r>
              <w:t xml:space="preserve">controller configuration sign-off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Overextension of browser analytics DPIA to</w:t>
            </w:r>
            <w:r>
              <w:t xml:space="preserve"> </w:t>
            </w:r>
            <w:r>
              <w:t xml:space="preserve">voting, health, finance, workplace, betting, real estate, or camera/IoT</w:t>
            </w:r>
            <w:r>
              <w:t xml:space="preserve"> </w:t>
            </w:r>
            <w:r>
              <w:t xml:space="preserve">domains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 — prevents relying on the browser analytics DPIA for materially</w:t>
            </w:r>
            <w:r>
              <w:t xml:space="preserve"> </w:t>
            </w:r>
            <w:r>
              <w:t xml:space="preserve">different patent embodiments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Planned</w:t>
            </w:r>
          </w:p>
        </w:tc>
      </w:tr>
    </w:tbl>
    <w:bookmarkEnd w:id="53"/>
    <w:bookmarkStart w:id="54" w:name="residual-risk-assessment"/>
    <w:p>
      <w:pPr>
        <w:numPr>
          <w:ilvl w:val="2"/>
          <w:numId w:val="1001"/>
        </w:numPr>
        <w:pStyle w:val="Heading4"/>
      </w:pPr>
      <w:r>
        <w:t xml:space="preserve">Residual Risk Assessment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902"/>
        <w:gridCol w:w="2995"/>
        <w:gridCol w:w="655"/>
        <w:gridCol w:w="655"/>
        <w:gridCol w:w="655"/>
        <w:gridCol w:w="1498"/>
      </w:tblGrid>
      <w:tr>
        <w:trPr>
          <w:tblHeader w:val="on"/>
        </w:trP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Additional Measures Applied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Residual Likelihood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Residual Severity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Residual Level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Acceptable?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state breach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— (structural mitigation inherent)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store breach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Encryption at rest (#1)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 compromise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Key rotation (#4)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provider breach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API auth bypass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re-auth per request (#3)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SDK supply chain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Signed releases + audit (#2, #5)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Yes, conditional on pre-launch completion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Protected linkage store compulsion or misuse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Protected-linkage controls</w:t>
            </w:r>
            <w:r>
              <w:t xml:space="preserve"> </w:t>
            </w:r>
            <w:r>
              <w:t xml:space="preserve">(#6), including provider partitioning where enabled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Yes, for browser analytics where no single ordinary provider holds both</w:t>
            </w:r>
            <w:r>
              <w:t xml:space="preserve"> </w:t>
            </w:r>
            <w:r>
              <w:t xml:space="preserve">identity authority and linkage authority; domain DPIA required for</w:t>
            </w:r>
            <w:r>
              <w:t xml:space="preserve"> </w:t>
            </w:r>
            <w:r>
              <w:t xml:space="preserve">voting, health, finance, or legal-process-heavy deployments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Endpoint/browser or network correlation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Browser/endpoint controls</w:t>
            </w:r>
            <w:r>
              <w:t xml:space="preserve"> </w:t>
            </w:r>
            <w:r>
              <w:t xml:space="preserve">(#7)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for moderate-risk users; not acceptable for</w:t>
            </w:r>
            <w:r>
              <w:t xml:space="preserve"> </w:t>
            </w:r>
            <w:r>
              <w:t xml:space="preserve">hostile-state or coercion-sensitive deployments without separate</w:t>
            </w:r>
            <w:r>
              <w:t xml:space="preserve"> </w:t>
            </w:r>
            <w:r>
              <w:t xml:space="preserve">transport/opsec controls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 configuration or domain extension beyond reference scope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Domain-gating review (#8)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only if gated before</w:t>
            </w:r>
            <w:r>
              <w:t xml:space="preserve"> </w:t>
            </w:r>
            <w:r>
              <w:t xml:space="preserve">production reuse</w:t>
            </w:r>
          </w:p>
        </w:tc>
      </w:tr>
    </w:tbl>
    <w:p>
      <w:pPr>
        <w:pStyle w:val="BodyText"/>
      </w:pPr>
      <w:r>
        <w:t xml:space="preserve">All residual risks are at or below the acceptable threshold of 4 only under</w:t>
      </w:r>
      <w:r>
        <w:t xml:space="preserve"> </w:t>
      </w:r>
      <w:r>
        <w:t xml:space="preserve">the browser-analytics reference scope and only after planned pre-launch</w:t>
      </w:r>
      <w:r>
        <w:t xml:space="preserve"> </w:t>
      </w:r>
      <w:r>
        <w:t xml:space="preserve">controls are completed. The patent’s canonical-state structural guarantee</w:t>
      </w:r>
      <w:r>
        <w:t xml:space="preserve"> </w:t>
      </w:r>
      <w:r>
        <w:t xml:space="preserve">supports reduction of canonical-state breach risk; it does not by itself</w:t>
      </w:r>
      <w:r>
        <w:t xml:space="preserve"> </w:t>
      </w:r>
      <w:r>
        <w:t xml:space="preserve">make protected linkage, endpoint, network, IDV/wallet, or controller</w:t>
      </w:r>
      <w:r>
        <w:t xml:space="preserve"> </w:t>
      </w:r>
      <w:r>
        <w:t xml:space="preserve">configuration risks negligible. The software evidence for the core</w:t>
      </w:r>
      <w:r>
        <w:t xml:space="preserve"> </w:t>
      </w:r>
      <w:r>
        <w:t xml:space="preserve">kernel may be complete while those deployment controls still need to be</w:t>
      </w:r>
      <w:r>
        <w:t xml:space="preserve"> </w:t>
      </w:r>
      <w:r>
        <w:t xml:space="preserve">fixed for this domain.</w:t>
      </w:r>
    </w:p>
    <w:bookmarkEnd w:id="54"/>
    <w:bookmarkStart w:id="55" w:name="plan"/>
    <w:p>
      <w:pPr>
        <w:numPr>
          <w:ilvl w:val="2"/>
          <w:numId w:val="1001"/>
        </w:numPr>
        <w:pStyle w:val="Heading4"/>
      </w:pPr>
      <w:r>
        <w:t xml:space="preserve">Plan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118"/>
        <w:gridCol w:w="2434"/>
        <w:gridCol w:w="2808"/>
      </w:tblGrid>
      <w:tr>
        <w:trPr>
          <w:tblHeader w:val="on"/>
        </w:trP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Activity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Responsible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Timeline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Execute Article 28 DPA with cloud infrastructure provider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Legal /</w:t>
            </w:r>
            <w:r>
              <w:t xml:space="preserve"> </w:t>
            </w:r>
            <w:r>
              <w:t xml:space="preserve">Procurement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Pre-launch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Complete IDV provider Chapter V transfer assessment and SCCs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Privacy</w:t>
            </w:r>
            <w:r>
              <w:t xml:space="preserve"> </w:t>
            </w:r>
            <w:r>
              <w:t xml:space="preserve">Counsel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Pre-launch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 sealer key rotation policy (quarterly, HSM custody)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Product</w:t>
            </w:r>
            <w:r>
              <w:t xml:space="preserve"> </w:t>
            </w:r>
            <w:r>
              <w:t xml:space="preserve">Engineering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Pre-launch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 signed SDK release pipeline with reproducible builds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Product</w:t>
            </w:r>
            <w:r>
              <w:t xml:space="preserve"> </w:t>
            </w:r>
            <w:r>
              <w:t xml:space="preserve">Engineering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Pre-launch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Engage external auditor for SDK rejection predicate audit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Product</w:t>
            </w:r>
            <w:r>
              <w:t xml:space="preserve"> </w:t>
            </w:r>
            <w:r>
              <w:t xml:space="preserve">Engineering + DPO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Within 6 months of launch; annually thereafter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store penetration test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Security Team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Pre-launch; annually</w:t>
            </w:r>
            <w:r>
              <w:t xml:space="preserve"> </w:t>
            </w:r>
            <w:r>
              <w:t xml:space="preserve">thereafter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Trigger DPA prior consultation if residual risk reassessed above</w:t>
            </w:r>
            <w:r>
              <w:t xml:space="preserve"> </w:t>
            </w:r>
            <w:r>
              <w:t xml:space="preserve">threshold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DPO + Legal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As triggered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0" w:name="involvement-of-interested-parties"/>
    <w:p>
      <w:pPr>
        <w:numPr>
          <w:ilvl w:val="0"/>
          <w:numId w:val="1001"/>
        </w:numPr>
        <w:pStyle w:val="Heading2"/>
      </w:pPr>
      <w:r>
        <w:t xml:space="preserve">INVOLVEMENT OF INTERESTED</w:t>
      </w:r>
      <w:r>
        <w:t xml:space="preserve"> </w:t>
      </w:r>
      <w:r>
        <w:t xml:space="preserve">PARTIES</w:t>
      </w:r>
    </w:p>
    <w:bookmarkStart w:id="58" w:name="dpo-advice"/>
    <w:p>
      <w:pPr>
        <w:numPr>
          <w:ilvl w:val="1"/>
          <w:numId w:val="1001"/>
        </w:numPr>
        <w:pStyle w:val="Heading3"/>
      </w:pPr>
      <w:r>
        <w:t xml:space="preserve">DPO Advice</w:t>
      </w:r>
    </w:p>
    <w:p>
      <w:pPr>
        <w:pStyle w:val="FirstParagraph"/>
      </w:pPr>
      <w:r>
        <w:t xml:space="preserve">DPO review pending.</w:t>
      </w:r>
    </w:p>
    <w:p>
      <w:pPr>
        <w:pStyle w:val="BodyText"/>
      </w:pPr>
      <w:r>
        <w:t xml:space="preserve">DPO opinion, conclusions, and recommendations: pending DPO review.</w:t>
      </w:r>
    </w:p>
    <w:p>
      <w:pPr>
        <w:pStyle w:val="BodyText"/>
      </w:pPr>
      <w:r>
        <w:t xml:space="preserve">Implementation of DPO advice: pending DPO review.</w:t>
      </w:r>
    </w:p>
    <w:bookmarkEnd w:id="58"/>
    <w:bookmarkStart w:id="59" w:name="X04dcabbc6894f0443feed72518d9960d1223ddd"/>
    <w:p>
      <w:pPr>
        <w:numPr>
          <w:ilvl w:val="1"/>
          <w:numId w:val="1001"/>
        </w:numPr>
        <w:pStyle w:val="Heading3"/>
      </w:pPr>
      <w:r>
        <w:t xml:space="preserve">Views of Data Subjects or Their</w:t>
      </w:r>
      <w:r>
        <w:t xml:space="preserve"> </w:t>
      </w:r>
      <w:r>
        <w:t xml:space="preserve">Representatives</w:t>
      </w:r>
    </w:p>
    <w:p>
      <w:pPr>
        <w:pStyle w:val="FirstParagraph"/>
      </w:pPr>
      <w:r>
        <w:t xml:space="preserve">Data subjects were not directly consulted. Rationale: the processing</w:t>
      </w:r>
      <w:r>
        <w:t xml:space="preserve"> </w:t>
      </w:r>
      <w:r>
        <w:t xml:space="preserve">does not involve vulnerable data subjects; the primary privacy risk</w:t>
      </w:r>
      <w:r>
        <w:t xml:space="preserve"> </w:t>
      </w:r>
      <w:r>
        <w:t xml:space="preserve">(canonical-layer operator profiling from ledger state) is structurally</w:t>
      </w:r>
      <w:r>
        <w:t xml:space="preserve"> </w:t>
      </w:r>
      <w:r>
        <w:t xml:space="preserve">reduced by architecture rather than managed through organizational</w:t>
      </w:r>
      <w:r>
        <w:t xml:space="preserve"> </w:t>
      </w:r>
      <w:r>
        <w:t xml:space="preserve">controls alone. Protected linkage, endpoint/browser, network, IDV/wallet,</w:t>
      </w:r>
      <w:r>
        <w:t xml:space="preserve"> </w:t>
      </w:r>
      <w:r>
        <w:t xml:space="preserve">and controller-configuration risks remain operational risk surfaces;</w:t>
      </w:r>
      <w:r>
        <w:t xml:space="preserve"> </w:t>
      </w:r>
      <w:r>
        <w:t xml:space="preserve">user-authenticated retrieval and credential-free erasure are supported</w:t>
      </w:r>
      <w:r>
        <w:t xml:space="preserve"> </w:t>
      </w:r>
      <w:r>
        <w:t xml:space="preserve">without requiring data subject input at DPIA stage.</w:t>
      </w:r>
    </w:p>
    <w:p>
      <w:pPr>
        <w:pStyle w:val="BodyText"/>
      </w:pPr>
      <w:r>
        <w:t xml:space="preserve">Consultation should be considered if processing is extended to</w:t>
      </w:r>
      <w:r>
        <w:t xml:space="preserve"> </w:t>
      </w:r>
      <w:r>
        <w:t xml:space="preserve">vulnerable groups (minors, employees, public sector data subjects) or if</w:t>
      </w:r>
      <w:r>
        <w:t xml:space="preserve"> </w:t>
      </w:r>
      <w:r>
        <w:t xml:space="preserve">processing scope materially changes.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onclusion-and-decision"/>
    <w:p>
      <w:pPr>
        <w:numPr>
          <w:ilvl w:val="0"/>
          <w:numId w:val="1001"/>
        </w:numPr>
        <w:pStyle w:val="Heading2"/>
      </w:pPr>
      <w:r>
        <w:t xml:space="preserve">CONCLUSION AND DECISION</w:t>
      </w:r>
    </w:p>
    <w:p>
      <w:pPr>
        <w:pStyle w:val="FirstParagraph"/>
      </w:pPr>
      <w:r>
        <w:rPr>
          <w:b/>
          <w:bCs/>
        </w:rPr>
        <w:t xml:space="preserve">Decision: CONDITIONALLY APPROVED</w:t>
      </w:r>
      <w:r>
        <w:t xml:space="preserve"> </w:t>
      </w:r>
      <w:r>
        <w:t xml:space="preserve">— processing may proceed</w:t>
      </w:r>
      <w:r>
        <w:t xml:space="preserve"> </w:t>
      </w:r>
      <w:r>
        <w:t xml:space="preserve">after all conditions below are met.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246"/>
        <w:gridCol w:w="7114"/>
      </w:tblGrid>
      <w:tr>
        <w:trPr>
          <w:tblHeader w:val="on"/>
        </w:trP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Condition</w:t>
            </w:r>
          </w:p>
        </w:tc>
        <w:tc>
          <w:tcPr>
            <w:tcW w:type="pct" w:w="3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Article 28 DPA executed with cloud infrastructure provider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provider Chapter V transfer assessment completed; SCCs executed</w:t>
            </w:r>
            <w:r>
              <w:t xml:space="preserve"> </w:t>
            </w:r>
            <w:r>
              <w:t xml:space="preserve">where applicable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3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 rotation policy implemented with HSM custody</w:t>
            </w:r>
            <w:r>
              <w:t xml:space="preserve"> </w:t>
            </w:r>
            <w:r>
              <w:t xml:space="preserve">pre-launch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3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Signed SDK release pipeline operational pre-launch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3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External audit of SDK rejection predicate engaged; first audit</w:t>
            </w:r>
            <w:r>
              <w:t xml:space="preserve"> </w:t>
            </w:r>
            <w:r>
              <w:t xml:space="preserve">within 6 months of launch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3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Protected-linkage controls and provider partitioning implemented</w:t>
            </w:r>
            <w:r>
              <w:t xml:space="preserve"> </w:t>
            </w:r>
            <w:r>
              <w:t xml:space="preserve">before any hosted reconcile or recovery workflow is offered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pct" w:w="3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Browser/endpoint correlation controls documented, including the</w:t>
            </w:r>
            <w:r>
              <w:t xml:space="preserve"> </w:t>
            </w:r>
            <w:r>
              <w:t xml:space="preserve">boundary that shybrowser is not a global-adversary transport guarantee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pct" w:w="3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Domain-gating review completed before using this browser analytics DPIA</w:t>
            </w:r>
            <w:r>
              <w:t xml:space="preserve"> </w:t>
            </w:r>
            <w:r>
              <w:t xml:space="preserve">as support for any non-browser analytics deployment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Justification:</w:t>
      </w:r>
      <w:r>
        <w:t xml:space="preserve"> </w:t>
      </w:r>
      <w:r>
        <w:t xml:space="preserve">For the browser-analytics reference scope, and</w:t>
      </w:r>
      <w:r>
        <w:t xml:space="preserve"> </w:t>
      </w:r>
      <w:r>
        <w:t xml:space="preserve">conditional on the listed pre-launch controls, residual risks are at or</w:t>
      </w:r>
      <w:r>
        <w:t xml:space="preserve"> </w:t>
      </w:r>
      <w:r>
        <w:t xml:space="preserve">below the acceptable threshold of 4. The Shyware architecture supports:</w:t>
      </w:r>
      <w:r>
        <w:t xml:space="preserve"> </w:t>
      </w:r>
      <w:r>
        <w:t xml:space="preserve">(i) the Austrian DSB re-identification standard for the canonical layer</w:t>
      </w:r>
      <w:r>
        <w:t xml:space="preserve"> </w:t>
      </w:r>
      <w:r>
        <w:t xml:space="preserve">— canonical state does not contain the identity-behavior join; (ii)</w:t>
      </w:r>
      <w:r>
        <w:t xml:space="preserve"> </w:t>
      </w:r>
      <w:r>
        <w:t xml:space="preserve">the German SDM unlinkability protection goal for canonical state —</w:t>
      </w:r>
      <w:r>
        <w:t xml:space="preserve"> </w:t>
      </w:r>
      <w:r>
        <w:t xml:space="preserve">structural unlinkability is enforced by the write-side state machine,</w:t>
      </w:r>
      <w:r>
        <w:t xml:space="preserve"> </w:t>
      </w:r>
      <w:r>
        <w:t xml:space="preserve">not by policy alone; and (iii) Article 25 GDPR design support at the</w:t>
      </w:r>
      <w:r>
        <w:t xml:space="preserve"> </w:t>
      </w:r>
      <w:r>
        <w:t xml:space="preserve">canonical state-machine layer. This conclusion does not extend the</w:t>
      </w:r>
      <w:r>
        <w:t xml:space="preserve"> </w:t>
      </w:r>
      <w:r>
        <w:t xml:space="preserve">patent’s canonical-state guarantee to the protected linkage store,</w:t>
      </w:r>
      <w:r>
        <w:t xml:space="preserve"> </w:t>
      </w:r>
      <w:r>
        <w:t xml:space="preserve">reconciling interface, endpoint/browser state, IDV or wallet provider,</w:t>
      </w:r>
      <w:r>
        <w:t xml:space="preserve"> </w:t>
      </w:r>
      <w:r>
        <w:t xml:space="preserve">network transport, or controller configuration. No DPA prior</w:t>
      </w:r>
      <w:r>
        <w:t xml:space="preserve"> </w:t>
      </w:r>
      <w:r>
        <w:t xml:space="preserve">consultation is required under Article 36 GDPR for the reference</w:t>
      </w:r>
      <w:r>
        <w:t xml:space="preserve"> </w:t>
      </w:r>
      <w:r>
        <w:t xml:space="preserve">browser-analytics deployment while residual risks remain below the</w:t>
      </w:r>
      <w:r>
        <w:t xml:space="preserve"> </w:t>
      </w:r>
      <w:r>
        <w:t xml:space="preserve">threshold. Prior consultation and/or a separate domain DPIA must be</w:t>
      </w:r>
      <w:r>
        <w:t xml:space="preserve"> </w:t>
      </w:r>
      <w:r>
        <w:t xml:space="preserve">reassessed for hostile-state, voting, health, financial, workplace,</w:t>
      </w:r>
      <w:r>
        <w:t xml:space="preserve"> </w:t>
      </w:r>
      <w:r>
        <w:t xml:space="preserve">betting, real-estate allocation, camera/IoT, or other materially</w:t>
      </w:r>
      <w:r>
        <w:t xml:space="preserve"> </w:t>
      </w:r>
      <w:r>
        <w:t xml:space="preserve">different deployments.</w:t>
      </w:r>
    </w:p>
    <w:p>
      <w:r>
        <w:pict>
          <v:rect style="width:0;height:1.5pt" o:hralign="center" o:hrstd="t" o:hr="t"/>
        </w:pict>
      </w:r>
    </w:p>
    <w:bookmarkEnd w:id="61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Shyware Domain DPIA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2026-05-12T12:09:19Z</dcterms:created>
  <dcterms:modified xsi:type="dcterms:W3CDTF">2026-05-12T12:09:19Z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