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Camera and IoT Attestation</w:t>
      </w:r>
    </w:p>
    <w:p>
      <w:r>
        <w:pict>
          <v:rect style="width:0;height:1.5pt" o:hralign="center" o:hrstd="t" o:hr="t"/>
        </w:pict>
      </w:r>
    </w:p>
    <w:bookmarkStart w:id="20" w:name="overview-camera-iot"/>
    <w:p>
      <w:pPr>
        <w:pStyle w:val="Heading2"/>
      </w:pPr>
      <w:r>
        <w:t xml:space="preserve">OVERVIEW OF THE PROCESSING</w:t>
      </w:r>
    </w:p>
    <w:bookmarkStart w:id="18" w:name="controllers-camera-iot"/>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camera, IoT, liveness, warehouse proof, or sensor-attestation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shyware/embodiments/shycam</w:t>
            </w:r>
            <w:r>
              <w:t xml:space="preserve">;</w:t>
            </w:r>
            <w:r>
              <w:t xml:space="preserve"> </w:t>
            </w:r>
            <w:r>
              <w:rPr>
                <w:rStyle w:val="VerbatimChar"/>
              </w:rPr>
              <w:t xml:space="preserve">camClient.js</w:t>
            </w:r>
            <w:r>
              <w:t xml:space="preserve">;</w:t>
            </w:r>
            <w:r>
              <w:t xml:space="preserve"> </w:t>
            </w:r>
            <w:r>
              <w:rPr>
                <w:rStyle w:val="VerbatimChar"/>
              </w:rPr>
              <w:t xml:space="preserve">IoTClient.js</w:t>
            </w:r>
            <w:r>
              <w:t xml:space="preserve">;</w:t>
            </w:r>
            <w:r>
              <w:t xml:space="preserve"> </w:t>
            </w:r>
            <w:r>
              <w:rPr>
                <w:rStyle w:val="VerbatimChar"/>
              </w:rPr>
              <w:t xml:space="preserve">patent/mainhub/dpia/evidence_index.md</w:t>
            </w:r>
          </w:p>
        </w:tc>
      </w:tr>
    </w:tbl>
    <w:bookmarkEnd w:id="18"/>
    <w:bookmarkStart w:id="19" w:name="name-camera-iot"/>
    <w:p>
      <w:pPr>
        <w:pStyle w:val="Heading3"/>
      </w:pPr>
      <w:r>
        <w:t xml:space="preserve">Name of the Processing</w:t>
      </w:r>
    </w:p>
    <w:p>
      <w:pPr>
        <w:pStyle w:val="FirstParagraph"/>
      </w:pPr>
      <w:r>
        <w:rPr>
          <w:b/>
          <w:bCs/>
        </w:rPr>
        <w:t xml:space="preserve">Internal name:</w:t>
      </w:r>
      <w:r>
        <w:t xml:space="preserve"> </w:t>
      </w:r>
      <w:r>
        <w:t xml:space="preserve">Shyware Camera / IoT Attestation DPIA</w:t>
      </w:r>
    </w:p>
    <w:p>
      <w:r>
        <w:pict>
          <v:rect style="width:0;height:1.5pt" o:hralign="center" o:hrstd="t" o:hr="t"/>
        </w:pict>
      </w:r>
    </w:p>
    <w:bookmarkEnd w:id="19"/>
    <w:bookmarkEnd w:id="20"/>
    <w:bookmarkStart w:id="24" w:name="systematic-description-camera-iot"/>
    <w:p>
      <w:pPr>
        <w:numPr>
          <w:ilvl w:val="0"/>
          <w:numId w:val="1001"/>
        </w:numPr>
        <w:pStyle w:val="Heading2"/>
      </w:pPr>
      <w:r>
        <w:t xml:space="preserve">SYSTEMATIC DESCRIPTION OF THE PROCESSING</w:t>
      </w:r>
    </w:p>
    <w:bookmarkStart w:id="23" w:name="high-level-camera-iot"/>
    <w:p>
      <w:pPr>
        <w:numPr>
          <w:ilvl w:val="1"/>
          <w:numId w:val="1001"/>
        </w:numPr>
        <w:pStyle w:val="Heading3"/>
      </w:pPr>
      <w:r>
        <w:t xml:space="preserve">High-level Description of the Processing</w:t>
      </w:r>
    </w:p>
    <w:bookmarkStart w:id="21" w:name="processed-data-camera-iot"/>
    <w:p>
      <w:pPr>
        <w:numPr>
          <w:ilvl w:val="2"/>
          <w:numId w:val="1001"/>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182"/>
        <w:gridCol w:w="2340"/>
        <w:gridCol w:w="3089"/>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Image/video/sensor proof</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Camera frame, liveness proof, device sensor evidence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High if people, premises, or biometrics are captured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Device identity</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Camera, IoT device, validator, or signing key identifier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Location/time metadata</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Warehouse, vault, premises, or event timestamp</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Attestation signature</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Proof signature, public key, verification result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Low/Medium</w:t>
            </w:r>
          </w:p>
        </w:tc>
      </w:tr>
    </w:tbl>
    <w:bookmarkEnd w:id="21"/>
    <w:bookmarkStart w:id="22" w:name="purposes-camera-iot"/>
    <w:p>
      <w:pPr>
        <w:numPr>
          <w:ilvl w:val="2"/>
          <w:numId w:val="1001"/>
        </w:numPr>
        <w:pStyle w:val="Heading4"/>
      </w:pPr>
      <w:r>
        <w:t xml:space="preserve">Purposes of the Processing</w:t>
      </w:r>
    </w:p>
    <w:p>
      <w:pPr>
        <w:pStyle w:val="FirstParagraph"/>
      </w:pPr>
      <w:r>
        <w:t xml:space="preserve">Support liveness, inventory proof, warehouse/custody evidence, tamper detection, audit, and fraud prevention.</w:t>
      </w:r>
    </w:p>
    <w:bookmarkEnd w:id="22"/>
    <w:bookmarkEnd w:id="23"/>
    <w:bookmarkEnd w:id="24"/>
    <w:bookmarkStart w:id="27" w:name="analysis-camera-iot"/>
    <w:p>
      <w:pPr>
        <w:numPr>
          <w:ilvl w:val="0"/>
          <w:numId w:val="1001"/>
        </w:numPr>
        <w:pStyle w:val="Heading2"/>
      </w:pPr>
      <w:r>
        <w:t xml:space="preserve">ANALYSIS OF THE PROCESSING</w:t>
      </w:r>
    </w:p>
    <w:bookmarkStart w:id="25" w:name="lawfulness-camera-iot"/>
    <w:p>
      <w:pPr>
        <w:numPr>
          <w:ilvl w:val="1"/>
          <w:numId w:val="1001"/>
        </w:numPr>
        <w:pStyle w:val="Heading3"/>
      </w:pPr>
      <w:r>
        <w:t xml:space="preserve">Lawfulness and Minimisation</w:t>
      </w:r>
    </w:p>
    <w:p>
      <w:pPr>
        <w:pStyle w:val="FirstParagraph"/>
      </w:pPr>
      <w:r>
        <w:t xml:space="preserve">Customer controllers must define camera/sensor notices, workplace or premises policies, retention, access controls, and whether biometric or surveillance law applies. Proofs should be narrowed to the minimum evidence required.</w:t>
      </w:r>
    </w:p>
    <w:bookmarkEnd w:id="25"/>
    <w:bookmarkStart w:id="26" w:name="patent-alignment-camera-iot"/>
    <w:p>
      <w:pPr>
        <w:numPr>
          <w:ilvl w:val="1"/>
          <w:numId w:val="1001"/>
        </w:numPr>
        <w:pStyle w:val="Heading3"/>
      </w:pPr>
      <w:r>
        <w:t xml:space="preserve">Mainhub Patent Alignment</w:t>
      </w:r>
    </w:p>
    <w:p>
      <w:pPr>
        <w:pStyle w:val="FirstParagraph"/>
      </w:pPr>
      <w:r>
        <w:t xml:space="preserve">The Mainhub patent architecture can reduce canonical-state linkage between a subject/device commitment and an attestation record. It does not make camera frames, liveness signals, location/time metadata, workplace monitoring, biometric inference, or physical-premises surveillance low risk. Camera and IoT deployments require separate capture, retention, notice, access, and human-review controls.</w:t>
      </w:r>
    </w:p>
    <w:bookmarkEnd w:id="26"/>
    <w:bookmarkEnd w:id="27"/>
    <w:bookmarkStart w:id="28" w:name="necessity-camera-iot"/>
    <w:p>
      <w:pPr>
        <w:numPr>
          <w:ilvl w:val="0"/>
          <w:numId w:val="1001"/>
        </w:numPr>
        <w:pStyle w:val="Heading2"/>
      </w:pPr>
      <w:r>
        <w:t xml:space="preserve">CONSIDERATIONS ON NECESSITY AND PROPORTIONALITY</w:t>
      </w:r>
    </w:p>
    <w:p>
      <w:pPr>
        <w:pStyle w:val="FirstParagraph"/>
      </w:pPr>
      <w:r>
        <w:t xml:space="preserve">The camera and IoT pattern may be proportionate only where visual, liveness, device, or sensor evidence is necessary and less intrusive proof would not satisfy the controller purpose. Capture should be narrowed by field of view, frequency, retention, access, and deletion controls. If the deployment involves workers, public spaces, biometric/liveness inference, or premises surveillance, production should wait for domain counsel and controller policy review.</w:t>
      </w:r>
    </w:p>
    <w:bookmarkEnd w:id="28"/>
    <w:bookmarkStart w:id="31" w:name="risk-camera-iot"/>
    <w:p>
      <w:pPr>
        <w:numPr>
          <w:ilvl w:val="0"/>
          <w:numId w:val="1001"/>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370"/>
        <w:gridCol w:w="5148"/>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Incidental surveillance</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Limit field of view, capture frequency, and retention</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or liveness inference</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 whether biometric law or Article 9 analysis applies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Premises/location exposure</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and protect location/time metadata</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Tampered proof</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signing keys, device attestation, and verification pipeline</w:t>
            </w:r>
          </w:p>
        </w:tc>
      </w:tr>
    </w:tbl>
    <w:bookmarkStart w:id="29" w:name="dpia-audit-camera-iot"/>
    <w:p>
      <w:pPr>
        <w:numPr>
          <w:ilvl w:val="1"/>
          <w:numId w:val="1001"/>
        </w:numPr>
        <w:pStyle w:val="Heading3"/>
      </w:pPr>
      <w:r>
        <w:t xml:space="preserve">DPIA Audit Findings</w:t>
      </w:r>
    </w:p>
    <w:p>
      <w:pPr>
        <w:pStyle w:val="FirstParagraph"/>
      </w:pPr>
      <w:r>
        <w:t xml:space="preserve">This DPIA is the audit record for camera and IoT attestation deployments. Before production, the DPIA must identify the provider partition across device attestation provider, camera/sensor operator, protected linkage store, reconciling authority, canonical commit authority, and telemetry/support providers. Canonical-state unlinkability does not reduce risks from image content, biometric or liveness inference, location/time metadata, workplace or premises surveillance, or human-review workflows. The software evidence for the core kernel may be complete while capture scope, notice, retention, access review, and deletion/export controls still need to be fixed for this domain.</w:t>
      </w:r>
    </w:p>
    <w:bookmarkEnd w:id="29"/>
    <w:bookmarkStart w:id="30" w:name="residual-risk-camera-iot"/>
    <w:p>
      <w:pPr>
        <w:numPr>
          <w:ilvl w:val="1"/>
          <w:numId w:val="1001"/>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camera/IoT capture, biometric/liveness, surveillance, workplace/premises, notice, or retention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931"/>
        <w:gridCol w:w="655"/>
        <w:gridCol w:w="655"/>
        <w:gridCol w:w="655"/>
        <w:gridCol w:w="1123"/>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Image or sensor content exposure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Capture minimization, sealing, access controls, and retention limits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capture scope and access model</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or liveness inference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Explicit biometric/liveness assessment, provider review, and restricted reuse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biometric/liveness counsel review</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Location/time surveillance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Metadata minimization, aggregation, and retention limits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surveillance-context review</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Workplace or premises monitoring harm</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Notice, policy limits, human review, and appeal/escalation process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controller monitoring policy</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sensor operator, attestation provider, linkage, reconcile, commit, and telemetry roles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0"/>
    <w:bookmarkEnd w:id="31"/>
    <w:bookmarkStart w:id="32" w:name="interested-parties-camera-iot"/>
    <w:p>
      <w:pPr>
        <w:numPr>
          <w:ilvl w:val="0"/>
          <w:numId w:val="1001"/>
        </w:numPr>
        <w:pStyle w:val="Heading2"/>
      </w:pPr>
      <w:r>
        <w:t xml:space="preserve">INVOLVEMENT OF INTERESTED PARTIES</w:t>
      </w:r>
    </w:p>
    <w:p>
      <w:pPr>
        <w:pStyle w:val="FirstParagraph"/>
      </w:pPr>
      <w:r>
        <w:t xml:space="preserve">Privacy counsel, security, device/sensor operators, workplace or premises stakeholders where applicable, and customer DPO/security teams should review this DPIA before production. Data subject consultation or representative consultation should be considered for workplace, public-space, residential, or biometric/liveness deployments.</w:t>
      </w:r>
    </w:p>
    <w:bookmarkEnd w:id="32"/>
    <w:bookmarkStart w:id="33" w:name="conclusion-camera-iot"/>
    <w:p>
      <w:pPr>
        <w:numPr>
          <w:ilvl w:val="0"/>
          <w:numId w:val="1001"/>
        </w:numPr>
        <w:pStyle w:val="Heading2"/>
      </w:pPr>
      <w:r>
        <w:t xml:space="preserve">CONCLUSION AND DECISION</w:t>
      </w:r>
    </w:p>
    <w:p>
      <w:pPr>
        <w:pStyle w:val="FirstParagraph"/>
      </w:pPr>
      <w:r>
        <w:rPr>
          <w:b/>
          <w:bCs/>
        </w:rPr>
        <w:t xml:space="preserve">Draft decision:</w:t>
      </w:r>
      <w:r>
        <w:t xml:space="preserve"> </w:t>
      </w:r>
      <w:r>
        <w:t xml:space="preserve">Separate DPIA required before camera, liveness, or IoT proof deployment.</w:t>
      </w:r>
    </w:p>
    <w:bookmarkEnd w:id="33"/>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2026-05-24T18:51:48Z</dcterms:created>
  <dcterms:modified xsi:type="dcterms:W3CDTF">2026-05-24T18:51:48Z</dcterms:modified>
</cp:coreProperties>
</file>

<file path=docProps/custom.xml><?xml version="1.0" encoding="utf-8"?>
<Properties xmlns="http://schemas.openxmlformats.org/officeDocument/2006/custom-properties" xmlns:vt="http://schemas.openxmlformats.org/officeDocument/2006/docPropsVTypes"/>
</file>