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Civic Voting and Referenda</w:t>
      </w:r>
    </w:p>
    <w:p>
      <w:r>
        <w:pict>
          <v:rect style="width:0;height:1.5pt" o:hralign="center" o:hrstd="t" o:hr="t"/>
        </w:pict>
      </w:r>
    </w:p>
    <w:bookmarkStart w:id="22" w:name="overview-civic-voting"/>
    <w:p>
      <w:pPr>
        <w:pStyle w:val="Heading2"/>
      </w:pPr>
      <w:r>
        <w:t xml:space="preserve">OVERVIEW OF THE PROCESSING</w:t>
      </w:r>
    </w:p>
    <w:bookmarkStart w:id="18" w:name="controllers-civic-voting"/>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civic voting, referendum, election, or TAP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Management units responsible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Election Operations; Legal / Compliance; Data Protection; Security</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bl>
    <w:bookmarkEnd w:id="18"/>
    <w:bookmarkStart w:id="19" w:name="processors-civic-voting"/>
    <w:p>
      <w:pPr>
        <w:pStyle w:val="Heading3"/>
      </w:pPr>
      <w:r>
        <w:t xml:space="preserve">Processor(s) and Sub-processor(s)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650"/>
        <w:gridCol w:w="4961"/>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Processor</w:t>
            </w:r>
          </w:p>
        </w:tc>
        <w:tc>
          <w:tcPr>
            <w:tcW w:type="pct" w:w="2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Obligations and Tasks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 Shyware</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Provides voting SDK, canonical runtime, optional hosted API, reconciliation support, and audit artifacts under the Shyware DPA</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provider</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eligibility or personhood through Didit, Identus, wallet, or configured verifier mode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Cloud infrastructure provider</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Hosts API, canonical node, off-chain linkage store, signing infrastructure, and backups where hosted services are used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Mobile app attestation provider</w:t>
            </w:r>
          </w:p>
        </w:tc>
        <w:tc>
          <w:tcPr>
            <w:tcW w:type="pct" w:w="26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app integrity checks where mobile write-only or hostile-network fallback is enabled</w:t>
            </w:r>
          </w:p>
        </w:tc>
      </w:tr>
    </w:tbl>
    <w:bookmarkEnd w:id="19"/>
    <w:bookmarkStart w:id="20" w:name="name-civic-voting"/>
    <w:p>
      <w:pPr>
        <w:pStyle w:val="Heading3"/>
      </w:pPr>
      <w:r>
        <w:t xml:space="preserve">Name of the Processing</w:t>
      </w:r>
    </w:p>
    <w:p>
      <w:pPr>
        <w:pStyle w:val="FirstParagraph"/>
      </w:pPr>
      <w:r>
        <w:rPr>
          <w:b/>
          <w:bCs/>
        </w:rPr>
        <w:t xml:space="preserve">Internal name:</w:t>
      </w:r>
      <w:r>
        <w:t xml:space="preserve"> </w:t>
      </w:r>
      <w:r>
        <w:t xml:space="preserve">Shyware Civic Voting / Referenda DPIA</w:t>
      </w:r>
    </w:p>
    <w:p>
      <w:pPr>
        <w:pStyle w:val="BodyText"/>
      </w:pPr>
      <w:r>
        <w:rPr>
          <w:b/>
          <w:bCs/>
        </w:rPr>
        <w:t xml:space="preserve">Repository evidence:</w:t>
      </w:r>
      <w:r>
        <w:t xml:space="preserve"> </w:t>
      </w:r>
      <w:r>
        <w:rPr>
          <w:rStyle w:val="VerbatimChar"/>
        </w:rPr>
        <w:t xml:space="preserve">Consumers/POP-U-LIST</w:t>
      </w:r>
      <w:r>
        <w:t xml:space="preserve">;</w:t>
      </w:r>
      <w:r>
        <w:t xml:space="preserve"> </w:t>
      </w:r>
      <w:r>
        <w:rPr>
          <w:rStyle w:val="VerbatimChar"/>
        </w:rPr>
        <w:t xml:space="preserve">Consumers/SEDA_HAQQ</w:t>
      </w:r>
      <w:r>
        <w:t xml:space="preserve">;</w:t>
      </w:r>
      <w:r>
        <w:t xml:space="preserve"> </w:t>
      </w:r>
      <w:r>
        <w:rPr>
          <w:rStyle w:val="VerbatimChar"/>
        </w:rPr>
        <w:t xml:space="preserve">Consumers/taps</w:t>
      </w:r>
      <w:r>
        <w:t xml:space="preserve">;</w:t>
      </w:r>
      <w:r>
        <w:t xml:space="preserve"> </w:t>
      </w:r>
      <w:r>
        <w:rPr>
          <w:rStyle w:val="VerbatimChar"/>
        </w:rPr>
        <w:t xml:space="preserve">shyware/sdk/web/clients/embodiments/votingClient.js</w:t>
      </w:r>
      <w:r>
        <w:t xml:space="preserve">;</w:t>
      </w:r>
      <w:r>
        <w:t xml:space="preserve"> </w:t>
      </w:r>
      <w:r>
        <w:rPr>
          <w:rStyle w:val="VerbatimChar"/>
        </w:rPr>
        <w:t xml:space="preserve">shyware/embodiments/shyvoting</w:t>
      </w:r>
      <w:r>
        <w:t xml:space="preserve">;</w:t>
      </w:r>
      <w:r>
        <w:t xml:space="preserve"> </w:t>
      </w:r>
      <w:r>
        <w:rPr>
          <w:rStyle w:val="VerbatimChar"/>
        </w:rPr>
        <w:t xml:space="preserve">shyware/services/identity</w:t>
      </w:r>
      <w:r>
        <w:t xml:space="preserve">.</w:t>
      </w:r>
    </w:p>
    <w:bookmarkEnd w:id="20"/>
    <w:bookmarkStart w:id="21" w:name="technical-sheet-civic-voting"/>
    <w:p>
      <w:pPr>
        <w:pStyle w:val="Heading3"/>
      </w:pPr>
      <w:r>
        <w:t xml:space="preserve">DPIA Technical Sheet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Current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0.1 draft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Reason to conduct DPIA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Civic voting and referenda can reveal or imply political opinions, participation status, eligibility status, and democratic preferences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Scope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Shyvoting and TAP-style civic deployments using List 1/List 2 separation, IDV or wallet eligibility, receipt confirmation, tally signing, and optional reconciliation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Publication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domain DPIA; controller-specific election law and jurisdictional review required</w:t>
            </w:r>
          </w:p>
        </w:tc>
      </w:tr>
    </w:tbl>
    <w:p>
      <w:r>
        <w:pict>
          <v:rect style="width:0;height:1.5pt" o:hralign="center" o:hrstd="t" o:hr="t"/>
        </w:pict>
      </w:r>
    </w:p>
    <w:bookmarkEnd w:id="21"/>
    <w:bookmarkEnd w:id="22"/>
    <w:bookmarkStart w:id="30" w:name="systematic-description-civic-voting"/>
    <w:p>
      <w:pPr>
        <w:numPr>
          <w:ilvl w:val="0"/>
          <w:numId w:val="1002"/>
        </w:numPr>
        <w:pStyle w:val="Heading2"/>
      </w:pPr>
      <w:r>
        <w:t xml:space="preserve">SYSTEMATIC DESCRIPTION OF THE PROCESSING</w:t>
      </w:r>
    </w:p>
    <w:bookmarkStart w:id="28" w:name="high-level-civic-voting"/>
    <w:p>
      <w:pPr>
        <w:numPr>
          <w:ilvl w:val="1"/>
          <w:numId w:val="1002"/>
        </w:numPr>
        <w:pStyle w:val="Heading3"/>
      </w:pPr>
      <w:r>
        <w:t xml:space="preserve">High-level Description of the Processing</w:t>
      </w:r>
    </w:p>
    <w:bookmarkStart w:id="23" w:name="processed-data-civic-voting"/>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370"/>
        <w:gridCol w:w="2902"/>
        <w:gridCol w:w="2340"/>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Special Category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Ballot or submission identifier</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Direction-free opaque ballot id derived from nonce</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No alone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Vote direction or choice payload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Ballot choice, referendum answer, or TAP preference</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Potentially political opinion or special-category inference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 identity hash</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IDV, DID, wallet, or public-key-derived identity hash scoped to poll</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may relate to eligibility or political participation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Receipt confirmation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User confirmation that registry entry exists</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May reveal participation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Tally and audit record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counts, Merkle roots, HSM signatures</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No, aggregate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record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 to ballot id for recovery, withdrawal, or lawful reveal</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if enabled</w:t>
            </w:r>
          </w:p>
        </w:tc>
      </w:tr>
    </w:tbl>
    <w:bookmarkEnd w:id="23"/>
    <w:bookmarkStart w:id="24" w:name="purposes-civic-voting"/>
    <w:p>
      <w:pPr>
        <w:numPr>
          <w:ilvl w:val="2"/>
          <w:numId w:val="1002"/>
        </w:numPr>
        <w:pStyle w:val="Heading4"/>
      </w:pPr>
      <w:r>
        <w:t xml:space="preserve">Purposes of the 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744"/>
        <w:gridCol w:w="4867"/>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Purpose</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Legal Basis Assumption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Eligibility-gated anonymous civic participation</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Controller-specific public-interest, consent, contract, or legitimate-interest basis depending deployment</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tally and public auditability</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Public interest / legitimate interests / legal obligation depending election type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Duplicate-vote prevention and Sybil resistance</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Legitimate interests / public interest</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User receipt verification and possible withdrawal/change</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 public interest / legal obligation depending rules</w:t>
            </w:r>
          </w:p>
        </w:tc>
      </w:tr>
    </w:tbl>
    <w:bookmarkEnd w:id="24"/>
    <w:bookmarkStart w:id="25" w:name="nature-civic-voting"/>
    <w:p>
      <w:pPr>
        <w:numPr>
          <w:ilvl w:val="2"/>
          <w:numId w:val="1002"/>
        </w:numPr>
        <w:pStyle w:val="Heading4"/>
      </w:pPr>
      <w:r>
        <w:t xml:space="preserve">Nature, Scope and Context</w:t>
      </w:r>
    </w:p>
    <w:p>
      <w:pPr>
        <w:pStyle w:val="FirstParagraph"/>
      </w:pPr>
      <w:r>
        <w:t xml:space="preserve">The processing supports civic participation, referenda, elections, TAP legislative voting, or governance-like public expression. Even when canonical state does not link identity to vote direction, the processing can reveal participation and can involve political opinion inference. Controller-specific election law, campaign law, platform law, and public-sector rules may apply.</w:t>
      </w:r>
    </w:p>
    <w:bookmarkEnd w:id="25"/>
    <w:bookmarkStart w:id="26" w:name="patent-alignment-civic-voting"/>
    <w:p>
      <w:pPr>
        <w:numPr>
          <w:ilvl w:val="2"/>
          <w:numId w:val="1002"/>
        </w:numPr>
        <w:pStyle w:val="Heading4"/>
      </w:pPr>
      <w:r>
        <w:t xml:space="preserve">Mainhub Patent Alignment</w:t>
      </w:r>
    </w:p>
    <w:p>
      <w:pPr>
        <w:pStyle w:val="FirstParagraph"/>
      </w:pPr>
      <w:r>
        <w:t xml:space="preserve">The Mainhub patent architecture supports the claim that valid canonical voting state need not contain a voter–vote-direction join. It does not by itself provide receipt-freeness, coercion resistance, global traffic-analysis resistance, eligibility fairness, or election-law compliance. Off-chain receipt stores, IDV providers, hostile-network exposure, device state, participation evidence, and recovery/change workflows remain high-risk surfaces requiring a standalone voting DPIA.</w:t>
      </w:r>
    </w:p>
    <w:bookmarkEnd w:id="26"/>
    <w:bookmarkStart w:id="27" w:name="authority-partition-civic-voting"/>
    <w:p>
      <w:pPr>
        <w:numPr>
          <w:ilvl w:val="2"/>
          <w:numId w:val="1002"/>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2995"/>
        <w:gridCol w:w="4025"/>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 stage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voter is a real, eligible person; assessed on authenticated users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authority (voter registration authority or court officer)</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voter eligibility; registered independently at poll creation; immutable key after creation</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 cannot write, inflate, or fabricate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 Both the eligibility authority and reconciling authority co-signatures are required before any canonical deletion.</w:t>
      </w:r>
      <w:r>
        <w:t xml:space="preserve"> </w:t>
      </w:r>
      <w:r>
        <w:rPr>
          <w:b/>
          <w:bCs/>
          <w:i/>
          <w:iCs/>
        </w:rPr>
        <w:t xml:space="preserve">VERIFIED (run 26369476939):</w:t>
      </w:r>
      <w:r>
        <w:rPr>
          <w:i/>
          <w:iCs/>
        </w:rPr>
        <w:t xml:space="preserve"> </w:t>
      </w:r>
      <w:r>
        <w:rPr>
          <w:i/>
          <w:iCs/>
        </w:rPr>
        <w:t xml:space="preserve">DUAL_COSIG section passes 379/379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7"/>
    <w:bookmarkEnd w:id="28"/>
    <w:bookmarkStart w:id="29" w:name="functional-description-civic-voting"/>
    <w:p>
      <w:pPr>
        <w:numPr>
          <w:ilvl w:val="1"/>
          <w:numId w:val="1002"/>
        </w:numPr>
        <w:pStyle w:val="Heading3"/>
      </w:pPr>
      <w:r>
        <w:t xml:space="preserve">Functional Description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3463"/>
        <w:gridCol w:w="3370"/>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Phase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Operation</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Explanation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User completes IDV, DID, wallet, or attestation flow</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signal becomes scoped identity hash or proof</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Ballot cast</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Client creates ballot nonce and direction-free ballot id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Ballot choice is stored separately from identity registry</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write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Runtime commits List 1 vote record and List 2 voter record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invariant rejects incomplete writes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Close/tally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HSM signs aggregate roots and tally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Public verification without operator trust</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Receipt/reconcile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User confirms presence or requests allowed recovery/change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must be tightly scoped and logged</w:t>
            </w:r>
          </w:p>
        </w:tc>
      </w:tr>
    </w:tbl>
    <w:bookmarkEnd w:id="29"/>
    <w:bookmarkEnd w:id="30"/>
    <w:bookmarkStart w:id="33" w:name="analysis-civic-voting"/>
    <w:p>
      <w:pPr>
        <w:numPr>
          <w:ilvl w:val="0"/>
          <w:numId w:val="1002"/>
        </w:numPr>
        <w:pStyle w:val="Heading2"/>
      </w:pPr>
      <w:r>
        <w:t xml:space="preserve">ANALYSIS OF THE PROCESSING</w:t>
      </w:r>
    </w:p>
    <w:bookmarkStart w:id="31" w:name="lawfulness-civic-voting"/>
    <w:p>
      <w:pPr>
        <w:numPr>
          <w:ilvl w:val="1"/>
          <w:numId w:val="1002"/>
        </w:numPr>
        <w:pStyle w:val="Heading3"/>
      </w:pPr>
      <w:r>
        <w:t xml:space="preserve">Lawfulness of the Processing</w:t>
      </w:r>
    </w:p>
    <w:p>
      <w:pPr>
        <w:pStyle w:val="FirstParagraph"/>
      </w:pPr>
      <w:r>
        <w:t xml:space="preserve">No single legal basis should be assumed. Political opinion and democratic-participation contexts require jurisdiction-specific counsel review. For public-sector elections, public-interest or legal-obligation bases may apply. For private civic engagement or platform polls, contract, consent, or legitimate interests may be considered, but special-category inference and imbalance must be assessed.</w:t>
      </w:r>
    </w:p>
    <w:bookmarkEnd w:id="31"/>
    <w:bookmarkStart w:id="32" w:name="minimisation-civic-voting"/>
    <w:p>
      <w:pPr>
        <w:numPr>
          <w:ilvl w:val="1"/>
          <w:numId w:val="1002"/>
        </w:numPr>
        <w:pStyle w:val="Heading3"/>
      </w:pPr>
      <w:r>
        <w:t xml:space="preserve">Data Minimisation, Retention Periods, and Data Quality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3463"/>
        <w:gridCol w:w="3463"/>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Item</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Minimisation Position</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Open Review Item</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Vote payload</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Store only valid choice and required poll metadata</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 whether payload must be sealed or public aggregate-only</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Scope to poll/election to avoid cross-poll tracking</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derivation per identity mode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Receipt store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Optional; disable for non-recoverable elections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Decide recoverable vs write-only posture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IDV artifacts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Retain only proof hashes or attestations needed for eligibility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IDV provider retention and transfer posture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Tally artifacts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Preserve aggregate audit evidence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publication and archival rules</w:t>
            </w:r>
          </w:p>
        </w:tc>
      </w:tr>
    </w:tbl>
    <w:bookmarkEnd w:id="32"/>
    <w:bookmarkEnd w:id="33"/>
    <w:bookmarkStart w:id="34" w:name="necessity-civic-voting"/>
    <w:p>
      <w:pPr>
        <w:numPr>
          <w:ilvl w:val="0"/>
          <w:numId w:val="1002"/>
        </w:numPr>
        <w:pStyle w:val="Heading2"/>
      </w:pPr>
      <w:r>
        <w:t xml:space="preserve">CONSIDERATIONS ON NECESSITY AND PROPORTIONALITY</w:t>
      </w:r>
    </w:p>
    <w:p>
      <w:pPr>
        <w:pStyle w:val="FirstParagraph"/>
      </w:pPr>
      <w:r>
        <w:t xml:space="preserve">The architecture is potentially proportionate where eligibility, one-person-one-vote controls, public aggregate audit, and voter privacy are all necessary. Recoverable posture is more intrusive than write-only posture and should be justified by the specific rules of the voting process.</w:t>
      </w:r>
    </w:p>
    <w:bookmarkEnd w:id="34"/>
    <w:bookmarkStart w:id="41" w:name="risk-civic-voting"/>
    <w:p>
      <w:pPr>
        <w:numPr>
          <w:ilvl w:val="0"/>
          <w:numId w:val="1002"/>
        </w:numPr>
        <w:pStyle w:val="Heading2"/>
      </w:pPr>
      <w:r>
        <w:t xml:space="preserve">RISK ASSESSMENT AND MANAGEMENT</w:t>
      </w:r>
    </w:p>
    <w:bookmarkStart w:id="40" w:name="risk-management-civic-voting"/>
    <w:p>
      <w:pPr>
        <w:numPr>
          <w:ilvl w:val="1"/>
          <w:numId w:val="1002"/>
        </w:numPr>
        <w:pStyle w:val="Heading3"/>
      </w:pPr>
      <w:r>
        <w:t xml:space="preserve">Risk Assessment and Management</w:t>
      </w:r>
    </w:p>
    <w:bookmarkStart w:id="35" w:name="threats-civic-voting"/>
    <w:p>
      <w:pPr>
        <w:numPr>
          <w:ilvl w:val="2"/>
          <w:numId w:val="1002"/>
        </w:numPr>
        <w:pStyle w:val="Heading4"/>
      </w:pPr>
      <w:r>
        <w:t xml:space="preserve">Threats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55"/>
        <w:gridCol w:w="2621"/>
        <w:gridCol w:w="3931"/>
        <w:gridCol w:w="2153"/>
      </w:tblGrid>
      <w:tr>
        <w:trPr>
          <w:tblHeader w:val="on"/>
        </w:trPr>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Threat</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Materialisation</w:t>
            </w:r>
          </w:p>
        </w:tc>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Initial Risk</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preference exposure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Ballot payload linked to person through off-chain store, logs, IDV, or client compromise</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exposure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or receipt confirmation reveals who participated</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 / vote buying</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User is pressured to reveal receipt, device state, or recovery result</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discrimination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IDV or wallet mode excludes eligible participants or creates unfair barriers</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Tally manipulation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Signing, validator, or state machine compromise corrupts aggregate result</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35"/>
    <w:bookmarkStart w:id="36" w:name="mitigations-civic-voting"/>
    <w:p>
      <w:pPr>
        <w:numPr>
          <w:ilvl w:val="2"/>
          <w:numId w:val="1002"/>
        </w:numPr>
        <w:pStyle w:val="Heading4"/>
      </w:pPr>
      <w:r>
        <w:t xml:space="preserve">Additional Mitigating Measures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6552"/>
        <w:gridCol w:w="1872"/>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Measure</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Status</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Default write-only mode for high-stakes elections unless recovery is legally required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Poll-scoped identity derivation with no reusable voter identifier</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Coercion-resistant receipt policy and no direction-bearing receipt disclosure</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Accessibility and alternative eligibility process review</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Independent audit reference or engineering evidence for tally signing, state machine, and count-match invariant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bl>
    <w:bookmarkEnd w:id="36"/>
    <w:bookmarkStart w:id="37" w:name="dpia-audit-civic-voting"/>
    <w:p>
      <w:pPr>
        <w:numPr>
          <w:ilvl w:val="2"/>
          <w:numId w:val="1002"/>
        </w:numPr>
        <w:pStyle w:val="Heading4"/>
      </w:pPr>
      <w:r>
        <w:t xml:space="preserve">DPIA Audit Findings</w:t>
      </w:r>
    </w:p>
    <w:p>
      <w:pPr>
        <w:pStyle w:val="FirstParagraph"/>
      </w:pPr>
      <w:r>
        <w:t xml:space="preserve">This DPIA is the audit record for the civic voting and referenda processing pattern. The following findings must be resolved in this DPIA or in a controller-specific version before production.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4493"/>
        <w:gridCol w:w="2995"/>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Audit Area</w:t>
            </w:r>
          </w:p>
        </w:tc>
        <w:tc>
          <w:tcPr>
            <w:tcW w:type="pct" w:w="2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Finding</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Current Status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Patent posture</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Write-side canonical state may reduce voter–vote-direction linkage only if the rejection predicate, count-match invariant, and intermediate-state exclusion are implemented and evidenced.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Engineering tests exist for core state-machine invariants; independent tally-audit evidence link pending</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 reconcile</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Receipt, withdrawal, reveal, or recovery must be disabled or tightly scoped; direction-bearing receipts are not acceptable in coercion-sensitive elections.</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Open; recoverable vs write-only posture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Identify IDV/auth provider, receipt or linkage store, reconciling authority, canonical commit authority, eligibility authority, and telemetry/support provider.</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Open; authority matrix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exposure</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Even without a vote-direction join, eligibility, receipt, network access, or device state may reveal participation.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 network and endpoint posture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fairness</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or DID mode may exclude eligible participants or create discriminatory barriers.</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 alternative eligibility process required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Residual risk</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This DPIA cannot be approved for production until election rules, legal basis, coercion posture, retention, publication, and recovery mode are fixed.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Not acceptable for production until completed</w:t>
            </w:r>
          </w:p>
        </w:tc>
      </w:tr>
    </w:tbl>
    <w:bookmarkEnd w:id="37"/>
    <w:bookmarkStart w:id="38" w:name="compliance-instructions-civic-voting"/>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8"/>
    <w:bookmarkStart w:id="39" w:name="residual-risk-civic-voting"/>
    <w:p>
      <w:pPr>
        <w:numPr>
          <w:ilvl w:val="2"/>
          <w:numId w:val="1002"/>
        </w:numPr>
        <w:pStyle w:val="Heading4"/>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civic/election governance, coercion, participation, accessibility, publication, or controller-rule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3650"/>
        <w:gridCol w:w="749"/>
        <w:gridCol w:w="749"/>
        <w:gridCol w:w="749"/>
        <w:gridCol w:w="1217"/>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preference exposure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separation, receipt policy, provider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controller election rules and recovery posture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exposure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Scoped eligibility, minimized receipt confirmation, transport/opsec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public/hostile-context deployment controls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 / vote buying</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mode, no direction-bearing receipt, endpoint restrictions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approved write-only/coercion posture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discrimination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Alternative eligibility process and accessibility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fairness and accessibility review</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Tally manipulation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Independent audit of state machine, count-match invariant, and signing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independent audit evidence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Authority matrix for IDV, receipt store, reconcile, eligibility,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deanonymize alone</w:t>
            </w:r>
          </w:p>
        </w:tc>
      </w:tr>
    </w:tbl>
    <w:bookmarkEnd w:id="39"/>
    <w:bookmarkEnd w:id="40"/>
    <w:bookmarkEnd w:id="41"/>
    <w:bookmarkStart w:id="42" w:name="interested-parties-civic-voting"/>
    <w:p>
      <w:pPr>
        <w:numPr>
          <w:ilvl w:val="0"/>
          <w:numId w:val="1002"/>
        </w:numPr>
        <w:pStyle w:val="Heading2"/>
      </w:pPr>
      <w:r>
        <w:t xml:space="preserve">INVOLVEMENT OF INTERESTED PARTIES</w:t>
      </w:r>
    </w:p>
    <w:p>
      <w:pPr>
        <w:pStyle w:val="FirstParagraph"/>
      </w:pPr>
      <w:r>
        <w:t xml:space="preserve">Data subject or representative consultation should be considered for public-facing civic deployments. Election administrators, civil society reviewers, accessibility stakeholders, and DPO/security teams should be involved before production.</w:t>
      </w:r>
    </w:p>
    <w:bookmarkEnd w:id="42"/>
    <w:bookmarkStart w:id="43" w:name="conclusion-civic-voting"/>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production deployment. Proceed only after legal basis, election rules, identity mode, coercion posture, retention, publication, and recovery mode are fixed.</w:t>
      </w:r>
    </w:p>
    <w:bookmarkEnd w:id="43"/>
    <w:bookmarkStart w:id="47" w:name="annexes-civic-voting"/>
    <w:p>
      <w:pPr>
        <w:pStyle w:val="Heading1"/>
      </w:pPr>
      <w:r>
        <w:t xml:space="preserve">Regulatory and Deployment Context Annexes</w:t>
      </w:r>
    </w:p>
    <w:bookmarkStart w:id="44" w:name="annex-a-civic"/>
    <w:p>
      <w:pPr>
        <w:numPr>
          <w:ilvl w:val="0"/>
          <w:numId w:val="1002"/>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91"/>
        <w:gridCol w:w="2434"/>
        <w:gridCol w:w="2246"/>
        <w:gridCol w:w="3089"/>
      </w:tblGrid>
      <w:tr>
        <w:trPr>
          <w:tblHeader w:val="on"/>
        </w:trPr>
        <w:tc>
          <w:tcPr>
            <w:tcW w:type="pct" w:w="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Civic referenda (non-binding)</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opinions (Art. 9); participation exposure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Art. 9(1) GDPR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Art. 9(2)(a) explicit consent; identity-mode review; transport-opsec controls documented</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Binding national elections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Voter anonymity legally mandated; tally must be independently verifiable; coercion-resistance may be required by election law</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National election legislation; Council of Europe Recommendation CM/Rec(2017)5</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Independent audit of state machine and HSM attestation; election authority approval before deployment; write-only posture assessment per jurisdiction</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Hostile-regime / coercion-resistant</w:t>
            </w:r>
            <w:r>
              <w:t xml:space="preserve"> </w:t>
            </w:r>
            <w:r>
              <w:t xml:space="preserve">(SEDA_HAQQ posture)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Participation as evidence of dissent; coercion under device seizure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 specific regulation — threat-model driven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Coercion-resistant posture mandatory; write-only mode; APK distribution outside app stores; ZK nullifier tier for participation inference resistance</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Corporate / DAO governance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Wallet-weighted governance; plutocratic concentration risk; SEC scrutiny of token-voting if security</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US SEC (DAO governance token may be a security); EU MiCA Art. 79</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Legal opinion on token classification; governance-weighting transparency; quorum and delegation rules documented</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Employee / union ballot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Employment law; union ballot secrecy requirements (UK TULRCA, DE BetrVG)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UK Trade Union and Labour Relations Act; German Betriebsverfassungsgesetz</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Works council consultation; union-specific ballot secrecy rules; retention limited to dispute window</w:t>
            </w:r>
          </w:p>
        </w:tc>
      </w:tr>
    </w:tbl>
    <w:bookmarkEnd w:id="44"/>
    <w:bookmarkStart w:id="45" w:name="annex-b-civic"/>
    <w:p>
      <w:pPr>
        <w:numPr>
          <w:ilvl w:val="0"/>
          <w:numId w:val="1002"/>
        </w:numPr>
        <w:pStyle w:val="Heading2"/>
      </w:pPr>
      <w:r>
        <w:t xml:space="preserve">Annex B — Art. 9 Political Opinions Analysis</w:t>
      </w:r>
    </w:p>
    <w:p>
      <w:pPr>
        <w:pStyle w:val="FirstParagraph"/>
      </w:pPr>
      <w:r>
        <w:t xml:space="preserve">Voting and governance data is Art. 9(1) special-category data (political opinions) in most EU member states. The legal basis must be Art. 9(2)(a) explicit consent, or Art. 9(2)(g) substantial public interest with appropriate safeguards (for official elections). The structural anonymity guarantee reduces the risk that any individual’s vote direction is disclosed from canonical state, but does not eliminate the Art. 9 classification because: (a) participation itself may reveal political engagement; (b) the identity hash in List 2 confirms the subject voted (participation record). Operators must: document the Art. 9(2) basis; implement the minimum eligibility-data model; confirm that participation records are not shared without data subject instruction.</w:t>
      </w:r>
    </w:p>
    <w:bookmarkEnd w:id="45"/>
    <w:bookmarkStart w:id="46" w:name="annex-c-civic"/>
    <w:p>
      <w:pPr>
        <w:numPr>
          <w:ilvl w:val="0"/>
          <w:numId w:val="1002"/>
        </w:numPr>
        <w:pStyle w:val="Heading2"/>
      </w:pPr>
      <w:r>
        <w:t xml:space="preserve">Annex C — Jurisdiction-Specific Election Law</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744"/>
        <w:gridCol w:w="3931"/>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Jurisdiction</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Key requirements</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structural coverage</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EU member states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GDPR Art. 9 political opinions; eIDAS for identity where applicable; national election law varies significantly</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anonymity + HSM attestation addresses core ballot-secrecy requirement; eligibility and identity-mode configuration operator-specific</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United States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No federal online-voting law; HAVA (Help America Vote Act) for federal elections; state-level rules vary; export controls on cryptographic software (EAR/ITAR)</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HAVA does not permit internet voting for federal elections without specific state authorization; shyvoting suitable for referenda, surveys, governance; not approved for HAVA-covered elections without state election authority waiver</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United Kingdom</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Electoral Administration Act 2006; Electoral Commission guidance on internet voting pilots</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Internet voting permitted only under Electoral Commission pilot authorization; structural audit trail supports pilot evidence requirements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International / hostile-regime</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No applicable regulation by definition; OSCE/ODIHR election observation standards apply to credibility</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Coercion-resistant posture + ZK nullifier tier provides evidence for OSCE structural-anonymity criterion</w:t>
            </w:r>
          </w:p>
        </w:tc>
      </w:tr>
    </w:tbl>
    <w:bookmarkEnd w:id="46"/>
    <w:bookmarkEnd w:id="47"/>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2026-05-24T18:51:48Z</dcterms:created>
  <dcterms:modified xsi:type="dcterms:W3CDTF">2026-05-24T18:51:48Z</dcterms:modified>
</cp:coreProperties>
</file>

<file path=docProps/custom.xml><?xml version="1.0" encoding="utf-8"?>
<Properties xmlns="http://schemas.openxmlformats.org/officeDocument/2006/custom-properties" xmlns:vt="http://schemas.openxmlformats.org/officeDocument/2006/docPropsVTypes"/>
</file>