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FirstParagraph"/>
      </w:pPr>
      <w:r>
        <w:t xml:space="preserve">DPIA — KEYBOX Authenticator Vault (</w:t>
      </w:r>
      <w:r>
        <w:rPr>
          <w:rStyle w:val="VerbatimChar"/>
        </w:rPr>
        <w:t xml:space="preserve">authenticator.keybox.fyi</w:t>
      </w:r>
      <w:r>
        <w:t xml:space="preserve">)</w:t>
      </w:r>
    </w:p>
    <w:p>
      <w:pPr>
        <w:pStyle w:val="BodyText"/>
      </w:pPr>
      <w:r>
        <w:t xml:space="preserve">This is the product-specific DPIA for the</w:t>
      </w:r>
      <w:r>
        <w:t xml:space="preserve"> </w:t>
      </w:r>
      <w:r>
        <w:rPr>
          <w:rStyle w:val="VerbatimChar"/>
        </w:rPr>
        <w:t xml:space="preserve">authenticator.keybox.fyi</w:t>
      </w:r>
      <w:r>
        <w:t xml:space="preserve"> </w:t>
      </w:r>
      <w:r>
        <w:t xml:space="preserve">surface. It supplements and supersedes the shystore-v1 SDK DPIA (</w:t>
      </w:r>
      <w:r>
        <w:rPr>
          <w:rStyle w:val="VerbatimChar"/>
        </w:rPr>
        <w:t xml:space="preserve">DPIA_CONFIDENTIAL_STORE_KEYLESS_RECOVERY.tex</w:t>
      </w:r>
      <w:r>
        <w:t xml:space="preserve">) for TOTP/FIDO2 authenticator deployments.</w:t>
      </w:r>
    </w:p>
    <w:bookmarkStart w:id="24" w:name="totp-extension"/>
    <w:p>
      <w:pPr>
        <w:pStyle w:val="Heading2"/>
      </w:pPr>
      <w:r>
        <w:t xml:space="preserve">TOTP/FIDO2 EXTENSION —</w:t>
      </w:r>
      <w:r>
        <w:t xml:space="preserve"> </w:t>
      </w:r>
      <w:r>
        <w:rPr>
          <w:rStyle w:val="VerbatimChar"/>
        </w:rPr>
        <w:t xml:space="preserve">authenticator.keybox.fyi</w:t>
      </w:r>
    </w:p>
    <w:p>
      <w:pPr>
        <w:pStyle w:val="FirstParagraph"/>
      </w:pPr>
      <w:r>
        <w:t xml:space="preserve">This section applies to</w:t>
      </w:r>
      <w:r>
        <w:t xml:space="preserve"> </w:t>
      </w:r>
      <w:r>
        <w:rPr>
          <w:rStyle w:val="VerbatimChar"/>
        </w:rPr>
        <w:t xml:space="preserve">shyconfig.store.secret_categories</w:t>
      </w:r>
      <w:r>
        <w:t xml:space="preserve"> </w:t>
      </w:r>
      <w:r>
        <w:t xml:space="preserve">entries</w:t>
      </w:r>
      <w:r>
        <w:t xml:space="preserve"> </w:t>
      </w:r>
      <w:r>
        <w:rPr>
          <w:rStyle w:val="VerbatimChar"/>
        </w:rPr>
        <w:t xml:space="preserve">auth_seed_totp</w:t>
      </w:r>
      <w:r>
        <w:t xml:space="preserve"> </w:t>
      </w:r>
      <w:r>
        <w:t xml:space="preserve">and</w:t>
      </w:r>
      <w:r>
        <w:t xml:space="preserve"> </w:t>
      </w:r>
      <w:r>
        <w:rPr>
          <w:rStyle w:val="VerbatimChar"/>
        </w:rPr>
        <w:t xml:space="preserve">auth_seed_fido2</w:t>
      </w:r>
      <w:r>
        <w:t xml:space="preserve">. It supplements the generic confidential-store DPIA above.</w:t>
      </w:r>
    </w:p>
    <w:bookmarkStart w:id="18" w:name="totp-product"/>
    <w:p>
      <w:pPr>
        <w:pStyle w:val="Heading3"/>
      </w:pPr>
      <w:r>
        <w:t xml:space="preserve">Product Description and Competitive Context</w:t>
      </w:r>
    </w:p>
    <w:p>
      <w:pPr>
        <w:pStyle w:val="FirstParagraph"/>
      </w:pPr>
      <w:r>
        <w:t xml:space="preserve">The authenticator surface at</w:t>
      </w:r>
      <w:r>
        <w:t xml:space="preserve"> </w:t>
      </w:r>
      <w:r>
        <w:rPr>
          <w:rStyle w:val="VerbatimChar"/>
        </w:rPr>
        <w:t xml:space="preserve">authenticator.keybox.fyi</w:t>
      </w:r>
      <w:r>
        <w:t xml:space="preserve"> </w:t>
      </w:r>
      <w:r>
        <w:t xml:space="preserve">stores TOTP base32 secrets and FIDO2/WebAuthn credentials in the shystore vault. It competes with Google Authenticator, Authy, and 1Password TOTP. The primary privacy differentiation is structural non-enumeration: unlike all named competitors, no single party can enumerate which services a user is protecting.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3089"/>
        <w:gridCol w:w="4025"/>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Competitor</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Recovery model</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Operator enumeration</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Google Authenticator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Device-bound; no cloud backup</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N/A (no cloud)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Authy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Cloud backup; master password required</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Authy holds full mapping</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1Password TOTP</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Vault; master password + secret key</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1Password holds encrypted mapping</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KEYBOX authenticator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Cognito fallback (primary); biometric reveal-all (break-glass)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Structural non-enumeration: no operator can query user’s service list from canonical state</w:t>
            </w:r>
          </w:p>
        </w:tc>
      </w:tr>
    </w:tbl>
    <w:bookmarkEnd w:id="18"/>
    <w:bookmarkStart w:id="19" w:name="totp-special-category"/>
    <w:p>
      <w:pPr>
        <w:pStyle w:val="Heading3"/>
      </w:pPr>
      <w:r>
        <w:t xml:space="preserve">Special Category Assessment</w:t>
      </w:r>
    </w:p>
    <w:p>
      <w:pPr>
        <w:pStyle w:val="FirstParagraph"/>
      </w:pPr>
      <w:r>
        <w:t xml:space="preserve">TOTP seeds and FIDO2 credentials are not special-category personal data under GDPR Art. 9(1). They are, however, security-critical: unauthorised disclosure enables impersonation on all services the user protects. The legal basis is Art. 6(1)(b) (contract performance — user stores their own authenticator seeds to manage their 2FA). No Art. 9 assessment is required unless the protected services themselves involve special-category processing.</w:t>
      </w:r>
    </w:p>
    <w:bookmarkEnd w:id="19"/>
    <w:bookmarkStart w:id="20" w:name="totp-two-list"/>
    <w:p>
      <w:pPr>
        <w:pStyle w:val="Heading3"/>
      </w:pPr>
      <w:r>
        <w:t xml:space="preserve">Structural Non-Enumeration — the Two-List Invariant Benefit</w:t>
      </w:r>
    </w:p>
    <w:p>
      <w:pPr>
        <w:pStyle w:val="FirstParagraph"/>
      </w:pPr>
      <w:r>
        <w:t xml:space="preserve">In all single-party authenticator products, a compelled disclosure or provider breach yields the complete mapping:</w:t>
      </w:r>
      <w:r>
        <w:t xml:space="preserve"> </w:t>
      </w:r>
      <w:r>
        <w:rPr>
          <w:i/>
          <w:iCs/>
        </w:rPr>
        <w:t xml:space="preserve">user X protects services {GitHub, Google, bank, employer}</w:t>
      </w:r>
      <w:r>
        <w:t xml:space="preserve">. This mapping is high-value for targeted attacks (reveals the full scope of an individual’s online accounts) and for profiling (employer, financial, health service usage is inferable from TOTP registrations).</w:t>
      </w:r>
    </w:p>
    <w:p>
      <w:pPr>
        <w:pStyle w:val="BodyText"/>
      </w:pPr>
      <w:r>
        <w:t xml:space="preserve">In the KEYBOX authenticator, canonical state contains sealed seed blobs (List 1) and identity commitment hashes (List 2) with no join between them. The reconciling authority holds the off-chain linkage (identity hash → secret identifiers). A canonical state breach therefore yields sealed blobs and identity hashes with no derivable mapping between account holder and protected services. Enumerating which services a user protects requires</w:t>
      </w:r>
      <w:r>
        <w:t xml:space="preserve"> </w:t>
      </w:r>
      <w:r>
        <w:rPr>
          <w:i/>
          <w:iCs/>
        </w:rPr>
        <w:t xml:space="preserve">both</w:t>
      </w:r>
      <w:r>
        <w:t xml:space="preserve"> </w:t>
      </w:r>
      <w:r>
        <w:t xml:space="preserve">the reconciling authority’s off-chain linkage</w:t>
      </w:r>
      <w:r>
        <w:t xml:space="preserve"> </w:t>
      </w:r>
      <w:r>
        <w:rPr>
          <w:i/>
          <w:iCs/>
        </w:rPr>
        <w:t xml:space="preserve">and</w:t>
      </w:r>
      <w:r>
        <w:t xml:space="preserve"> </w:t>
      </w:r>
      <w:r>
        <w:t xml:space="preserve">the sealer key. This is the two-list structural invariant applied to the authenticator domain.</w:t>
      </w:r>
    </w:p>
    <w:bookmarkEnd w:id="20"/>
    <w:bookmarkStart w:id="21" w:name="totp-recovery"/>
    <w:p>
      <w:pPr>
        <w:pStyle w:val="Heading3"/>
      </w:pPr>
      <w:r>
        <w:t xml:space="preserve">Recovery Model — Two Tiers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4867"/>
        <w:gridCol w:w="2714"/>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Tier</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Mechanism</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When used</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Primary</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operator_sealer</w:t>
            </w:r>
            <w:r>
              <w:t xml:space="preserve">: Cognito authentication causes the reconciling authority to re-issue the sealer key; vault is accessible on any device after Cognito login; any non-TOTP Cognito fallback method (email OTP, SMS, passkey) breaks the circular dependency</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Daily use and standard new-device recovery</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Break-glass</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re-derivation (Didit): full vault reveal including TOTP seeds; resolves the circular-dependency case where the user’s only Cognito second factor is a TOTP seed stored in the vault being recovered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Only when user cannot reach Cognito via any non-TOTP method</w:t>
            </w:r>
          </w:p>
        </w:tc>
      </w:tr>
    </w:tbl>
    <w:p>
      <w:pPr>
        <w:pStyle w:val="BodyText"/>
      </w:pPr>
      <w:r>
        <w:rPr>
          <w:b/>
          <w:bCs/>
        </w:rPr>
        <w:t xml:space="preserve">Circular dependency analysis.</w:t>
      </w:r>
      <w:r>
        <w:t xml:space="preserve"> </w:t>
      </w:r>
      <w:r>
        <w:t xml:space="preserve">If a user’s Cognito MFA is configured as TOTP-only and their only TOTP app is KEYBOX, losing their device creates a circular dependency: they need the TOTP to access Cognito, but the TOTP is in the vault they need Cognito to open. The biometric break-glass path resolves this without requiring a memorised master password. The biometric re-derivation reveals all vault contents, including the Cognito TOTP, after which the user logs into Cognito normally.</w:t>
      </w:r>
    </w:p>
    <w:p>
      <w:pPr>
        <w:pStyle w:val="BodyText"/>
      </w:pPr>
      <w:r>
        <w:rPr>
          <w:b/>
          <w:bCs/>
        </w:rPr>
        <w:t xml:space="preserve">Operator obligation:</w:t>
      </w:r>
      <w:r>
        <w:t xml:space="preserve"> </w:t>
      </w:r>
      <w:r>
        <w:t xml:space="preserve">Cognito must be configured with at least one non-TOTP fallback MFA method (email OTP, SMS, or passkey) so that the biometric break-glass is a genuine last resort rather than the primary recovery path.</w:t>
      </w:r>
    </w:p>
    <w:bookmarkEnd w:id="21"/>
    <w:bookmarkStart w:id="22" w:name="totp-erasure"/>
    <w:p>
      <w:pPr>
        <w:pStyle w:val="Heading3"/>
      </w:pPr>
      <w:r>
        <w:t xml:space="preserve">Art. 17 Erasure for TOTP Seeds</w:t>
      </w:r>
    </w:p>
    <w:p>
      <w:pPr>
        <w:pStyle w:val="FirstParagraph"/>
      </w:pPr>
      <w:r>
        <w:t xml:space="preserve">Art. 17 erasure for TOTP seeds follows the same sealer-deletion path verified for shystore in the ERASURE section (</w:t>
      </w:r>
      <w:r>
        <w:rPr>
          <w:i/>
          <w:iCs/>
        </w:rPr>
        <w:t xml:space="preserve">VERIFIED run 26369476939</w:t>
      </w:r>
      <w:r>
        <w:t xml:space="preserve">): the reconciling authority deletes the sealer key mapping for the target secretId; the canonical sealed blob persists but is permanently undecryptable. The user is also instructed to remove the keybox entry from the target service’s MFA settings (the relying party retains the TOTP registration independently).</w:t>
      </w:r>
    </w:p>
    <w:bookmarkEnd w:id="22"/>
    <w:bookmarkStart w:id="23" w:name="totp-residual"/>
    <w:p>
      <w:pPr>
        <w:pStyle w:val="Heading3"/>
      </w:pPr>
      <w:r>
        <w:t xml:space="preserve">TOTP Residual Risk</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3838"/>
        <w:gridCol w:w="749"/>
        <w:gridCol w:w="749"/>
        <w:gridCol w:w="1217"/>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Control</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 enumerates user’s service list</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non-enumeration (two-list invariant); reconcile API is non-composable and per-secret</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with non-enumerable reconcile API enforced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 → all TOTP seeds exposed</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in reconciling authority off-chain store; access gated by Cognito auth; break-glass gated by biometric</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strong Cognito account security + biometric enrolment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Circular dependency → permanent vault lockout</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break-glass breaks the loop; Cognito non-TOTP fallback also available</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with both recovery paths operational</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Relying-party TOTP registration not removed on erasure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runbook instructs user to remove keybox from service’s MFA settings after vault erasure</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 user obligation; not automatable</w:t>
            </w:r>
          </w:p>
        </w:tc>
      </w:tr>
    </w:tbl>
    <w:p>
      <w:pPr>
        <w:pStyle w:val="BodyText"/>
      </w:pPr>
      <w:r>
        <w:rPr>
          <w:b/>
          <w:bCs/>
        </w:rPr>
        <w:t xml:space="preserve">TOTP extension verdict:</w:t>
      </w:r>
      <w:r>
        <w:t xml:space="preserve"> </w:t>
      </w:r>
      <w:r>
        <w:t xml:space="preserve">The shystore structural layer provides meaningful privacy improvement over all named competitors via structural non-enumeration. TOTP seeds are not special-category data; Art. 6(1)(b) is sufficient. Production readiness requires: (1) Cognito configured with at least one non-TOTP fallback MFA method; (2) biometric break-glass tested end-to-end on the authenticator surface; (3) operator runbook documenting the relying-party de-registration step for erasure requests.</w:t>
      </w:r>
    </w:p>
    <w:bookmarkEnd w:id="23"/>
    <w:bookmarkEnd w:id="24"/>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2026-05-24T18:51:49Z</dcterms:created>
  <dcterms:modified xsi:type="dcterms:W3CDTF">2026-05-24T18:51:49Z</dcterms:modified>
</cp:coreProperties>
</file>

<file path=docProps/custom.xml><?xml version="1.0" encoding="utf-8"?>
<Properties xmlns="http://schemas.openxmlformats.org/officeDocument/2006/custom-properties" xmlns:vt="http://schemas.openxmlformats.org/officeDocument/2006/docPropsVTypes"/>
</file>