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Commodity Custody and Vaults</w:t>
      </w:r>
    </w:p>
    <w:p>
      <w:r>
        <w:pict>
          <v:rect style="width:0;height:1.5pt" o:hralign="center" o:hrstd="t" o:hr="t"/>
        </w:pict>
      </w:r>
    </w:p>
    <w:bookmarkStart w:id="20" w:name="overview-custody-vaults"/>
    <w:p>
      <w:pPr>
        <w:pStyle w:val="Heading2"/>
      </w:pPr>
      <w:r>
        <w:t xml:space="preserve">OVERVIEW OF THE PROCESSING</w:t>
      </w:r>
    </w:p>
    <w:bookmarkStart w:id="18" w:name="controllers-custody-vaults"/>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custody, vault, warehouse, redemption, or pooled-asset product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Repository evidence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Consumers/VAULTS_BIZ</w:t>
            </w:r>
            <w:r>
              <w:t xml:space="preserve">;</w:t>
            </w:r>
            <w:r>
              <w:t xml:space="preserve"> </w:t>
            </w:r>
            <w:r>
              <w:rPr>
                <w:rStyle w:val="VerbatimChar"/>
              </w:rPr>
              <w:t xml:space="preserve">custodyClient.js</w:t>
            </w:r>
            <w:r>
              <w:t xml:space="preserve">;</w:t>
            </w:r>
            <w:r>
              <w:t xml:space="preserve"> </w:t>
            </w:r>
            <w:r>
              <w:rPr>
                <w:rStyle w:val="VerbatimChar"/>
              </w:rPr>
              <w:t xml:space="preserve">shycam</w:t>
            </w:r>
            <w:r>
              <w:t xml:space="preserve">;</w:t>
            </w:r>
            <w:r>
              <w:t xml:space="preserve"> </w:t>
            </w:r>
            <w:r>
              <w:rPr>
                <w:rStyle w:val="VerbatimChar"/>
              </w:rPr>
              <w:t xml:space="preserve">shywire</w:t>
            </w:r>
            <w:r>
              <w:t xml:space="preserve">;</w:t>
            </w:r>
            <w:r>
              <w:t xml:space="preserve"> </w:t>
            </w:r>
            <w:r>
              <w:rPr>
                <w:rStyle w:val="VerbatimChar"/>
              </w:rPr>
              <w:t xml:space="preserve">patent/mainhub/dpia/evidence_index.md</w:t>
            </w:r>
          </w:p>
        </w:tc>
      </w:tr>
    </w:tbl>
    <w:bookmarkEnd w:id="18"/>
    <w:bookmarkStart w:id="19" w:name="name-custody-vaults"/>
    <w:p>
      <w:pPr>
        <w:pStyle w:val="Heading3"/>
      </w:pPr>
      <w:r>
        <w:t xml:space="preserve">Name of the Processing</w:t>
      </w:r>
    </w:p>
    <w:p>
      <w:pPr>
        <w:pStyle w:val="FirstParagraph"/>
      </w:pPr>
      <w:r>
        <w:rPr>
          <w:b/>
          <w:bCs/>
        </w:rPr>
        <w:t xml:space="preserve">Internal name:</w:t>
      </w:r>
      <w:r>
        <w:t xml:space="preserve"> </w:t>
      </w:r>
      <w:r>
        <w:t xml:space="preserve">Shyware Commodity Custody / Vaults DPIA</w:t>
      </w:r>
    </w:p>
    <w:p>
      <w:r>
        <w:pict>
          <v:rect style="width:0;height:1.5pt" o:hralign="center" o:hrstd="t" o:hr="t"/>
        </w:pict>
      </w:r>
    </w:p>
    <w:bookmarkEnd w:id="19"/>
    <w:bookmarkEnd w:id="20"/>
    <w:bookmarkStart w:id="24" w:name="systematic-description-custody-vaults"/>
    <w:p>
      <w:pPr>
        <w:numPr>
          <w:ilvl w:val="0"/>
          <w:numId w:val="1002"/>
        </w:numPr>
        <w:pStyle w:val="Heading2"/>
      </w:pPr>
      <w:r>
        <w:t xml:space="preserve">SYSTEMATIC DESCRIPTION OF THE PROCESSING</w:t>
      </w:r>
    </w:p>
    <w:bookmarkStart w:id="23" w:name="high-level-custody-vaults"/>
    <w:p>
      <w:pPr>
        <w:numPr>
          <w:ilvl w:val="1"/>
          <w:numId w:val="1002"/>
        </w:numPr>
        <w:pStyle w:val="Heading3"/>
      </w:pPr>
      <w:r>
        <w:t xml:space="preserve">High-level Description of the Processing</w:t>
      </w:r>
    </w:p>
    <w:bookmarkStart w:id="21" w:name="processed-data-custody-vaults"/>
    <w:p>
      <w:pPr>
        <w:numPr>
          <w:ilvl w:val="2"/>
          <w:numId w:val="1002"/>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2808"/>
        <w:gridCol w:w="2995"/>
        <w:gridCol w:w="2808"/>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Custody account commitment</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Holder, redeemer, issuer, or warehouse commitment</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Redemption/issuance record</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Asset, amount, redemption request, custody action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Financial/property high-risk</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KYB/KYC data</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Warehouse owner, beneficial owner, customer verification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Camera/liveness proof</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Inventory, liveness, warehouse proof, attestation evidence</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bl>
    <w:bookmarkEnd w:id="21"/>
    <w:bookmarkStart w:id="22" w:name="purposes-custody-vaults"/>
    <w:p>
      <w:pPr>
        <w:numPr>
          <w:ilvl w:val="2"/>
          <w:numId w:val="1002"/>
        </w:numPr>
        <w:pStyle w:val="Heading4"/>
      </w:pPr>
      <w:r>
        <w:t xml:space="preserve">Purposes of the Processing</w:t>
      </w:r>
    </w:p>
    <w:p>
      <w:pPr>
        <w:pStyle w:val="FirstParagraph"/>
      </w:pPr>
      <w:r>
        <w:t xml:space="preserve">Support pooled-asset custody, issuance, redemption, inventory attestation, warehouse verification, audit, fraud prevention, and dispute resolution.</w:t>
      </w:r>
    </w:p>
    <w:bookmarkEnd w:id="22"/>
    <w:bookmarkEnd w:id="23"/>
    <w:bookmarkEnd w:id="24"/>
    <w:bookmarkStart w:id="28" w:name="analysis-custody-vaults"/>
    <w:p>
      <w:pPr>
        <w:numPr>
          <w:ilvl w:val="0"/>
          <w:numId w:val="1002"/>
        </w:numPr>
        <w:pStyle w:val="Heading2"/>
      </w:pPr>
      <w:r>
        <w:t xml:space="preserve">ANALYSIS OF THE PROCESSING</w:t>
      </w:r>
    </w:p>
    <w:bookmarkStart w:id="25" w:name="lawfulness-custody-vaults"/>
    <w:p>
      <w:pPr>
        <w:numPr>
          <w:ilvl w:val="1"/>
          <w:numId w:val="1002"/>
        </w:numPr>
        <w:pStyle w:val="Heading3"/>
      </w:pPr>
      <w:r>
        <w:t xml:space="preserve">Lawfulness and Minimisation</w:t>
      </w:r>
    </w:p>
    <w:p>
      <w:pPr>
        <w:pStyle w:val="FirstParagraph"/>
      </w:pPr>
      <w:r>
        <w:t xml:space="preserve">Customer controllers must assess property, custody, consumer-protection, financial, and warehouse regulations. Camera or IoT proofs should avoid incidental capture of workers, visitors, and unrelated property.</w:t>
      </w:r>
    </w:p>
    <w:bookmarkEnd w:id="25"/>
    <w:bookmarkStart w:id="27" w:name="patent-alignment-custody-vaults"/>
    <w:p>
      <w:pPr>
        <w:numPr>
          <w:ilvl w:val="1"/>
          <w:numId w:val="1002"/>
        </w:numPr>
        <w:pStyle w:val="Heading3"/>
      </w:pPr>
      <w:r>
        <w:t xml:space="preserve">Mainhub Patent Alignment</w:t>
      </w:r>
    </w:p>
    <w:p>
      <w:pPr>
        <w:pStyle w:val="FirstParagraph"/>
      </w:pPr>
      <w:r>
        <w:t xml:space="preserve">The Mainhub patent architecture can reduce canonical-state linkage between holder identity and custody/redemption records where two-list writes are used. It does not remove property-law, custody, dispute, camera/IoT, warehouse, KYB/KYC, or redemption audit risks. Custody deployments must separately govern real-world asset evidence, operator access, and legal process.</w:t>
      </w:r>
    </w:p>
    <w:bookmarkStart w:id="26" w:name="authority-partition-custody-vaults"/>
    <w:p>
      <w:pPr>
        <w:numPr>
          <w:ilvl w:val="2"/>
          <w:numId w:val="1002"/>
        </w:numPr>
        <w:pStyle w:val="Heading4"/>
      </w:pPr>
      <w:r>
        <w:t xml:space="preserve">Authority Partition</w:t>
      </w:r>
    </w:p>
    <w:p>
      <w:pPr>
        <w:pStyle w:val="FirstParagraph"/>
      </w:pPr>
      <w:r>
        <w:t xml:space="preserve">This is a count-match embodiment. Four structurally separated parties are required: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3182"/>
        <w:gridCol w:w="3838"/>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gates access to KYB/KYC stage</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Cannot write canonical records; no linkage data</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IDV/KYB provider (Didit or KYB provider)</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holder identity and beneficial ownership on authenticated users</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authority (warehouse operator or custody administrator)</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Determines lot and redemption eligibility; registered independently at scoping-identifier creation</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Delete-only on canonical state; requires reconciling co-signature to execute rescission; every rescission is append-only in canonical state and never deletable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eligibility co-signature for any rescission; cannot forge identity</w:t>
            </w:r>
          </w:p>
        </w:tc>
      </w:tr>
    </w:tbl>
    <w:p>
      <w:pPr>
        <w:pStyle w:val="BodyText"/>
      </w:pPr>
      <w:r>
        <w:rPr>
          <w:b/>
          <w:bCs/>
        </w:rPr>
        <w:t xml:space="preserve">Dual co-authorization enforcement (Claim 2):</w:t>
      </w:r>
      <w:r>
        <w:t xml:space="preserve"> </w:t>
      </w:r>
      <w:r>
        <w:t xml:space="preserve">The validation layer must reject single-signature rescission transactions.</w:t>
      </w:r>
      <w:r>
        <w:t xml:space="preserve"> </w:t>
      </w:r>
      <w:r>
        <w:rPr>
          <w:b/>
          <w:bCs/>
          <w:i/>
          <w:iCs/>
        </w:rPr>
        <w:t xml:space="preserve">VERIFIED (run 26369476939):</w:t>
      </w:r>
      <w:r>
        <w:rPr>
          <w:i/>
          <w:iCs/>
        </w:rPr>
        <w:t xml:space="preserve"> </w:t>
      </w:r>
      <w:r>
        <w:rPr>
          <w:i/>
          <w:iCs/>
        </w:rPr>
        <w:t xml:space="preserve">DUAL_COSIG section passes 379/379 — unauthenticated + valid token</w:t>
      </w:r>
      <w:r>
        <w:rPr>
          <w:i/>
          <w:iCs/>
        </w:rPr>
        <w:t xml:space="preserve"> </w:t>
      </w:r>
      <m:oMath>
        <m:r>
          <m:rPr>
            <m:sty m:val="p"/>
          </m:rPr>
          <m:t>→</m:t>
        </m:r>
      </m:oMath>
      <w:r>
        <w:rPr>
          <w:i/>
          <w:iCs/>
        </w:rPr>
        <w:t xml:space="preserve"> </w:t>
      </w:r>
      <w:r>
        <w:rPr>
          <w:i/>
          <w:iCs/>
        </w:rPr>
        <w:t xml:space="preserve">401; authenticated + no token</w:t>
      </w:r>
      <w:r>
        <w:rPr>
          <w:i/>
          <w:iCs/>
        </w:rPr>
        <w:t xml:space="preserve"> </w:t>
      </w:r>
      <m:oMath>
        <m:r>
          <m:rPr>
            <m:sty m:val="p"/>
          </m:rPr>
          <m:t>→</m:t>
        </m:r>
      </m:oMath>
      <w:r>
        <w:rPr>
          <w:i/>
          <w:iCs/>
        </w:rPr>
        <w:t xml:space="preserve"> </w:t>
      </w:r>
      <w:r>
        <w:rPr>
          <w:i/>
          <w:iCs/>
        </w:rPr>
        <w:t xml:space="preserve">400; both co-signatures</w:t>
      </w:r>
      <w:r>
        <w:rPr>
          <w:i/>
          <w:iCs/>
        </w:rPr>
        <w:t xml:space="preserve"> </w:t>
      </w:r>
      <m:oMath>
        <m:r>
          <m:rPr>
            <m:sty m:val="p"/>
          </m:rPr>
          <m:t>→</m:t>
        </m:r>
      </m:oMath>
      <w:r>
        <w:rPr>
          <w:i/>
          <w:iCs/>
        </w:rPr>
        <w:t xml:space="preserve"> </w:t>
      </w:r>
      <w:r>
        <w:rPr>
          <w:i/>
          <w:iCs/>
        </w:rPr>
        <w:t xml:space="preserve">200, countMatch preserved.</w:t>
      </w:r>
    </w:p>
    <w:bookmarkEnd w:id="26"/>
    <w:bookmarkEnd w:id="27"/>
    <w:bookmarkEnd w:id="28"/>
    <w:bookmarkStart w:id="29" w:name="necessity-custody-vaults"/>
    <w:p>
      <w:pPr>
        <w:numPr>
          <w:ilvl w:val="0"/>
          <w:numId w:val="1002"/>
        </w:numPr>
        <w:pStyle w:val="Heading2"/>
      </w:pPr>
      <w:r>
        <w:t xml:space="preserve">CONSIDERATIONS ON NECESSITY AND PROPORTIONALITY</w:t>
      </w:r>
    </w:p>
    <w:p>
      <w:pPr>
        <w:pStyle w:val="FirstParagraph"/>
      </w:pPr>
      <w:r>
        <w:t xml:space="preserve">The custody/vault pattern may be proportionate where ownership, redemption, conservation, and audit evidence must be preserved without publishing unnecessary identity–asset linkage in canonical state. Protected linkage should be limited to custody, redemption, dispute, fraud, or lawful-access purposes. Production should wait until custody role allocation, warehouse evidence, KYB/KYC, payment, retention, and redemption workflows are fixed.</w:t>
      </w:r>
    </w:p>
    <w:bookmarkEnd w:id="29"/>
    <w:bookmarkStart w:id="33" w:name="risk-custody-vaults"/>
    <w:p>
      <w:pPr>
        <w:numPr>
          <w:ilvl w:val="0"/>
          <w:numId w:val="1002"/>
        </w:numPr>
        <w:pStyle w:val="Heading2"/>
      </w:pPr>
      <w:r>
        <w:t xml:space="preserve">RISK ASSESSMENT AND MANAGEMENT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36"/>
        <w:gridCol w:w="3838"/>
        <w:gridCol w:w="4586"/>
      </w:tblGrid>
      <w:tr>
        <w:trPr>
          <w:tblHeader w:val="on"/>
        </w:trPr>
        <w:tc>
          <w:tcPr>
            <w:tcW w:type="pct" w:w="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Follow-up</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Property/financial profiling</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Minimize holder identifiers and public linkability</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KYB/KYC overcollection</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provider role, retention, and transfer posture</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Camera/IoT incidental surveillance</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Add capture boundaries, retention, and access controls</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Redemption dispute harm</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audit, correction, and dispute workflow</w:t>
            </w:r>
          </w:p>
        </w:tc>
      </w:tr>
    </w:tbl>
    <w:bookmarkStart w:id="31" w:name="dpia-audit-custody-vaults"/>
    <w:p>
      <w:pPr>
        <w:numPr>
          <w:ilvl w:val="1"/>
          <w:numId w:val="1002"/>
        </w:numPr>
        <w:pStyle w:val="Heading3"/>
      </w:pPr>
      <w:r>
        <w:t xml:space="preserve">DPIA Audit Findings</w:t>
      </w:r>
    </w:p>
    <w:p>
      <w:pPr>
        <w:pStyle w:val="FirstParagraph"/>
      </w:pPr>
      <w:r>
        <w:t xml:space="preserve">This DPIA is the audit record for commodity custody and vault deployments. Before production, the DPIA must identify the provider partition across KYB/KYC or identity provider, warehouse/custody operator, protected linkage store, reconciling authority, canonical commit authority, payment/settlement provider, and telemetry/support providers. Canonical-state unlinkability does not reduce obligations for ownership records, redemption, audit, dispute handling, fraud controls, or physical custody evidence. The software evidence for the core kernel may be complete while custody law, role allocation, retention, lawful-access, and redemption controls still need to be fixed for this domain.</w:t>
      </w:r>
    </w:p>
    <w:bookmarkStart w:id="30" w:name="compliance-instructions-custody-vaults"/>
    <w:p>
      <w:pPr>
        <w:numPr>
          <w:ilvl w:val="2"/>
          <w:numId w:val="1002"/>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 Template in Compliance Guide §Operator Obligations.</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30"/>
    <w:bookmarkEnd w:id="31"/>
    <w:bookmarkStart w:id="32" w:name="residual-risk-custody-vaults"/>
    <w:p>
      <w:pPr>
        <w:numPr>
          <w:ilvl w:val="1"/>
          <w:numId w:val="1002"/>
        </w:numPr>
        <w:pStyle w:val="Heading3"/>
      </w:pPr>
      <w:r>
        <w:t xml:space="preserve">Residual Risk Assessment</w:t>
      </w:r>
    </w:p>
    <w:p>
      <w:pPr>
        <w:pStyle w:val="FirstParagraph"/>
      </w:pPr>
      <w:r>
        <w:t xml:space="preserve">The residual scores below assume the core Shyware twin-kernel controls are implemented and evidence-linked. The software evidence for the core kernel may be complete while custody, redemption, warehouse evidence, lawful-access, KYB/KYC, payment, or dispute-workflow choices still need to be fixed for this domain. These scores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434"/>
        <w:gridCol w:w="3838"/>
        <w:gridCol w:w="655"/>
        <w:gridCol w:w="655"/>
        <w:gridCol w:w="655"/>
        <w:gridCol w:w="1123"/>
      </w:tblGrid>
      <w:tr>
        <w:trPr>
          <w:tblHeader w:val="on"/>
        </w:trPr>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Ownership or redemption dispute exposure</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Custody records, redemption policy, audit logs, and dispute process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custody workflow</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KYB/KYC provider breach</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review, transfer controls, retention limits, and provider partitioning</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conditional on provider review</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Physical custody evidence exposure</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Sensor/camera minimization, access controls, and retention policy</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evidence retention and access model</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Fraud or lawful-access overreach</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Typed adverse actions, audit logs, legal review, and dual-control release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legal-process policy</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for identity, warehouse, payment, linkage, reconcile, commit, and telemetry roles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reconstruct linkage alone</w:t>
            </w:r>
          </w:p>
        </w:tc>
      </w:tr>
    </w:tbl>
    <w:bookmarkEnd w:id="32"/>
    <w:bookmarkEnd w:id="33"/>
    <w:bookmarkStart w:id="34" w:name="interested-parties-custody-vaults"/>
    <w:p>
      <w:pPr>
        <w:numPr>
          <w:ilvl w:val="0"/>
          <w:numId w:val="1002"/>
        </w:numPr>
        <w:pStyle w:val="Heading2"/>
      </w:pPr>
      <w:r>
        <w:t xml:space="preserve">INVOLVEMENT OF INTERESTED PARTIES</w:t>
      </w:r>
    </w:p>
    <w:p>
      <w:pPr>
        <w:pStyle w:val="FirstParagraph"/>
      </w:pPr>
      <w:r>
        <w:t xml:space="preserve">Privacy counsel, custody/warehouse operators, payment or settlement stakeholders, security, and customer compliance teams should review this DPIA before production. Data subject or customer representative consultation may be appropriate where retail customers, physical redemption, or dispute handling is material.</w:t>
      </w:r>
    </w:p>
    <w:bookmarkEnd w:id="34"/>
    <w:bookmarkStart w:id="35" w:name="conclusion-custody-vaults"/>
    <w:p>
      <w:pPr>
        <w:numPr>
          <w:ilvl w:val="0"/>
          <w:numId w:val="1002"/>
        </w:numPr>
        <w:pStyle w:val="Heading2"/>
      </w:pPr>
      <w:r>
        <w:t xml:space="preserve">CONCLUSION AND DECISION</w:t>
      </w:r>
    </w:p>
    <w:p>
      <w:pPr>
        <w:pStyle w:val="FirstParagraph"/>
      </w:pPr>
      <w:r>
        <w:rPr>
          <w:b/>
          <w:bCs/>
        </w:rPr>
        <w:t xml:space="preserve">Draft decision:</w:t>
      </w:r>
      <w:r>
        <w:t xml:space="preserve"> </w:t>
      </w:r>
      <w:r>
        <w:t xml:space="preserve">Separate DPIA required before production vault/custody launch.</w:t>
      </w:r>
    </w:p>
    <w:bookmarkEnd w:id="35"/>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2026-05-24T18:51:48Z</dcterms:created>
  <dcterms:modified xsi:type="dcterms:W3CDTF">2026-05-24T18:51:48Z</dcterms:modified>
</cp:coreProperties>
</file>

<file path=docProps/custom.xml><?xml version="1.0" encoding="utf-8"?>
<Properties xmlns="http://schemas.openxmlformats.org/officeDocument/2006/custom-properties" xmlns:vt="http://schemas.openxmlformats.org/officeDocument/2006/docPropsVTypes"/>
</file>