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DAO and Wallet Governance</w:t>
      </w:r>
    </w:p>
    <w:p>
      <w:r>
        <w:pict>
          <v:rect style="width:0;height:1.5pt" o:hralign="center" o:hrstd="t" o:hr="t"/>
        </w:pict>
      </w:r>
    </w:p>
    <w:bookmarkStart w:id="22" w:name="overview-dao-governance"/>
    <w:p>
      <w:pPr>
        <w:pStyle w:val="Heading2"/>
      </w:pPr>
      <w:r>
        <w:t xml:space="preserve">OVERVIEW OF THE PROCESSING</w:t>
      </w:r>
    </w:p>
    <w:bookmarkStart w:id="18" w:name="controllers-dao-governance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tooling customer, governance platform, or organization operating wallet-governance deployment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Product; Governance Operations; Legal / Compliance; Security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DPO or privacy contact where applicable</w:t>
            </w:r>
          </w:p>
        </w:tc>
      </w:tr>
    </w:tbl>
    <w:bookmarkEnd w:id="18"/>
    <w:bookmarkStart w:id="19" w:name="processors-dao-governance"/>
    <w:p>
      <w:pPr>
        <w:pStyle w:val="Heading3"/>
      </w:pPr>
      <w:r>
        <w:t xml:space="preserve">Processor(s) and 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557"/>
        <w:gridCol w:w="5054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/ Shyware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shares/governance SDK, account commitment utilities, optional hosted API, and processor assistance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/ blockchain provider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wallet address, signature, account, membership, or chain data depending integration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 provider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API, governance snapshots, canonical node, database, and security services where hosted services are used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or KYB provider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Optional provider for verified organizations, admins, or high-assurance membership controls</w:t>
            </w:r>
          </w:p>
        </w:tc>
      </w:tr>
    </w:tbl>
    <w:bookmarkEnd w:id="19"/>
    <w:bookmarkStart w:id="20" w:name="name-dao-governance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DAO / Wallet Governance DPIA</w:t>
      </w:r>
    </w:p>
    <w:p>
      <w:pPr>
        <w:pStyle w:val="BodyText"/>
      </w:pPr>
      <w:r>
        <w:rPr>
          <w:b/>
          <w:bCs/>
        </w:rPr>
        <w:t xml:space="preserve">Repository evidence:</w:t>
      </w:r>
      <w:r>
        <w:t xml:space="preserve"> </w:t>
      </w:r>
      <w:r>
        <w:rPr>
          <w:rStyle w:val="VerbatimChar"/>
        </w:rPr>
        <w:t xml:space="preserve">Consumers/BIGGLOM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shyware/sdk/web/clients/embodiments/sharesClient.js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shyware/services/identity/wallet.go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Consumers/BIGGLOM/webapp/src/services/mySharesState.js</w:t>
      </w:r>
      <w:r>
        <w:t xml:space="preserve">;</w:t>
      </w:r>
      <w:r>
        <w:t xml:space="preserve"> </w:t>
      </w:r>
      <w:r>
        <w:rPr>
          <w:rStyle w:val="VerbatimChar"/>
        </w:rPr>
        <w:t xml:space="preserve">patent/mainhub/dpia/evidence_index.md</w:t>
      </w:r>
      <w:r>
        <w:t xml:space="preserve">.</w:t>
      </w:r>
    </w:p>
    <w:bookmarkEnd w:id="20"/>
    <w:bookmarkStart w:id="21" w:name="technical-sheet-dao-governance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0.1 draft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governance can expose account membership, voting weight, delegated influence, financial/protocol affiliations, and governance choices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governance and wallet eligibility flows using account commitments, membership snapshots, weighted ballots, delegated weight, and optional identity/KYB controls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domain DPIA; customer-specific adaptation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systematic-description-dao-governance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8" w:name="high-level-dao-governance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3" w:name="processed-data-dao-governance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42"/>
        <w:gridCol w:w="3276"/>
        <w:gridCol w:w="2621"/>
        <w:gridCol w:w="2621"/>
      </w:tblGrid>
      <w:tr>
        <w:trPr>
          <w:tblHeader w:val="on"/>
        </w:trP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address or account identifier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Blockchain account, EVM address, or customer account id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alone; may reveal financial/profile data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commitment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Hash or commitment derived from wallet/account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snapshot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Organization membership, role, voting weight, delegated weight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alone; may reveal associations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Ballot or governance choice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Proposal vote, preference, weighted decision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Potential political, labor, financial, or association inference depending DAO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Receipt / local ballot state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storage of proposal receipt and account commitment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Pseudonymous; linkability risk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Admin/KYB data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Organization admin, beneficial ownership, or verification status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Potentially high-risk business/person data</w:t>
            </w:r>
          </w:p>
        </w:tc>
      </w:tr>
    </w:tbl>
    <w:bookmarkEnd w:id="23"/>
    <w:bookmarkStart w:id="24" w:name="purposes-dao-governance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4118"/>
        <w:gridCol w:w="4306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 Assumption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Eligibility-gated DAO or organization governance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Contract / legitimate interests / customer-specific basis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Weighted voting and delegated governance execution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Contract / legitimate interests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and role display to authorized user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Contract / legitimate interests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Auditability of aggregate governance result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 interests / legal obligation depending organization</w:t>
            </w:r>
          </w:p>
        </w:tc>
      </w:tr>
    </w:tbl>
    <w:bookmarkEnd w:id="24"/>
    <w:bookmarkStart w:id="25" w:name="nature-dao-governance"/>
    <w:p>
      <w:pPr>
        <w:numPr>
          <w:ilvl w:val="2"/>
          <w:numId w:val="1002"/>
        </w:numPr>
        <w:pStyle w:val="Heading4"/>
      </w:pPr>
      <w:r>
        <w:t xml:space="preserve">Nature, Scope and Context</w:t>
      </w:r>
    </w:p>
    <w:p>
      <w:pPr>
        <w:pStyle w:val="FirstParagraph"/>
      </w:pPr>
      <w:r>
        <w:t xml:space="preserve">The processing supports wallet or account-based governance. BIGGLOM code reads organizations, membership snapshots, account commitments, voting weight, delegated weight, and local receipts. Wallet-derived identity may be pseudonymous but often links to public on-chain history, assets, governance participation, and associations.</w:t>
      </w:r>
    </w:p>
    <w:bookmarkEnd w:id="25"/>
    <w:bookmarkStart w:id="26" w:name="patent-alignment-dao-governance"/>
    <w:p>
      <w:pPr>
        <w:numPr>
          <w:ilvl w:val="2"/>
          <w:numId w:val="1002"/>
        </w:numPr>
        <w:pStyle w:val="Heading4"/>
      </w:pPr>
      <w:r>
        <w:t xml:space="preserve">Mainhub Patent Alignment</w:t>
      </w:r>
    </w:p>
    <w:p>
      <w:pPr>
        <w:pStyle w:val="FirstParagraph"/>
      </w:pPr>
      <w:r>
        <w:t xml:space="preserve">The Mainhub patent architecture can reduce canonical-state linkage between a governance choice and an account commitment where the two-list rejection predicate is implemented. It does not erase public wallet history, membership graphs, delegated-weight relationships, token holdings, local receipts, or customer governance disclosures. Wallet-derived identity should therefore be treated as a linkability and profiling risk even when canonical vote-choice linkage is minimized.</w:t>
      </w:r>
    </w:p>
    <w:bookmarkEnd w:id="26"/>
    <w:bookmarkStart w:id="27" w:name="authority-partition-dao-governance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count-match embodiment with wallet/DID-based identity rather than biometric KYC. Four structurally separated parties are required: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182"/>
        <w:gridCol w:w="3650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 or wallet)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always required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write canonical records; no linkage data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 authority (Identus DID or wallet provider)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Attests member identity and governance credential; not biometric KYC; recovery requires DID wallet key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 authority (DAO governance administrator or designated governance authority)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Determines member eligibility and voting weight; registered independently at proposal creation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Delete-only on canonical state; requires reconciling co-signature to execute rescission; every rescission is append-only in canonical state and never deletable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governance snapshots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eligibility co-signature for any rescission; cannot forge identity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Dual co-authorization enforcement (Claim 2):</w:t>
      </w:r>
      <w:r>
        <w:t xml:space="preserve"> </w:t>
      </w:r>
      <w:r>
        <w:t xml:space="preserve">The validation layer must reject single-signature rescission transactions.</w:t>
      </w:r>
      <w:r>
        <w:t xml:space="preserve"> </w:t>
      </w:r>
      <w:r>
        <w:rPr>
          <w:b/>
          <w:bCs/>
          <w:i/>
          <w:iCs/>
        </w:rPr>
        <w:t xml:space="preserve">VERIFIED (run 26369476939):</w:t>
      </w:r>
      <w:r>
        <w:rPr>
          <w:i/>
          <w:iCs/>
        </w:rPr>
        <w:t xml:space="preserve"> </w:t>
      </w:r>
      <w:r>
        <w:rPr>
          <w:i/>
          <w:iCs/>
        </w:rPr>
        <w:t xml:space="preserve">DUAL_COSIG section passes 379/379 — unauthenticated + valid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401; authenticated + no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400; both co-signatures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200, countMatch preserved.</w:t>
      </w:r>
    </w:p>
    <w:bookmarkEnd w:id="27"/>
    <w:bookmarkEnd w:id="28"/>
    <w:bookmarkStart w:id="29" w:name="functional-description-dao-governance"/>
    <w:p>
      <w:pPr>
        <w:numPr>
          <w:ilvl w:val="1"/>
          <w:numId w:val="1002"/>
        </w:numPr>
        <w:pStyle w:val="Heading3"/>
      </w:pPr>
      <w:r>
        <w:t xml:space="preserve">Functional Description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182"/>
        <w:gridCol w:w="3650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provides wallet/account or verified membership signal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derives account commitment or identity hash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read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App retrieves organizations and membership snapshot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Displays roles, voting weight, delegated weight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Ballot build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submits weighted governance choice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Choice should be separated from account identity where configured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write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Runtime records anonymous choice and participant/commitment record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Count-match or membership invariant depends on embodiment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Client writes local receipt keyed by proposal and account commitment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storage must be disclosed and deletable</w:t>
            </w:r>
          </w:p>
        </w:tc>
      </w:tr>
    </w:tbl>
    <w:bookmarkEnd w:id="29"/>
    <w:bookmarkEnd w:id="30"/>
    <w:bookmarkStart w:id="33" w:name="analysis-dao-governance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31" w:name="lawfulness-dao-governance"/>
    <w:p>
      <w:pPr>
        <w:numPr>
          <w:ilvl w:val="1"/>
          <w:numId w:val="1002"/>
        </w:numPr>
        <w:pStyle w:val="Heading3"/>
      </w:pPr>
      <w:r>
        <w:t xml:space="preserve">Lawfulness of the Processing</w:t>
      </w:r>
    </w:p>
    <w:p>
      <w:pPr>
        <w:pStyle w:val="FirstParagraph"/>
      </w:pPr>
      <w:r>
        <w:t xml:space="preserve">Customer controllers should identify whether the deployment is a private organization governance tool, public DAO governance surface, employee/member governance system, financial protocol, or political/community association. The legal basis and sensitivity change materially across those contexts.</w:t>
      </w:r>
    </w:p>
    <w:bookmarkEnd w:id="31"/>
    <w:bookmarkStart w:id="32" w:name="minimisation-dao-governance"/>
    <w:p>
      <w:pPr>
        <w:numPr>
          <w:ilvl w:val="1"/>
          <w:numId w:val="1002"/>
        </w:numPr>
        <w:pStyle w:val="Heading3"/>
      </w:pPr>
      <w:r>
        <w:t xml:space="preserve">Data Minimisation, Retention Periods, and Data Quality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3557"/>
        <w:gridCol w:w="3463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Item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Minimisation Position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Review Item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address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Avoid storing raw wallet address where account commitment is sufficient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Add wallet proof and ownership validation before production reliance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commitment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commitment to organization/proposal where feasible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Avoid cross-DAO tracking by reusable commitment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snapshot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 only active eligibility and weight needed for vote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snapshot retention and dispute process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Delegated weight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Expose only to authorized governance surfaces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Assess profiling and power-map risks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receipt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Keep local, user-controlled, and erasable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browser/mobile deletion behavior</w:t>
            </w:r>
          </w:p>
        </w:tc>
      </w:tr>
    </w:tbl>
    <w:bookmarkEnd w:id="32"/>
    <w:bookmarkEnd w:id="33"/>
    <w:bookmarkStart w:id="34" w:name="necessity-dao-governance"/>
    <w:p>
      <w:pPr>
        <w:numPr>
          <w:ilvl w:val="0"/>
          <w:numId w:val="1002"/>
        </w:numPr>
        <w:pStyle w:val="Heading2"/>
      </w:pPr>
      <w:r>
        <w:t xml:space="preserve">CONSIDERATIONS ON NECESSITY AND PROPORTIONALITY</w:t>
      </w:r>
    </w:p>
    <w:p>
      <w:pPr>
        <w:pStyle w:val="FirstParagraph"/>
      </w:pPr>
      <w:r>
        <w:t xml:space="preserve">The processing can be proportionate where governance participation requires membership and weight verification. Reusable wallet identifiers, public on-chain history, and delegated-weight graphs create additional linkability risk and should be minimized by scoped commitments and limited retention.</w:t>
      </w:r>
    </w:p>
    <w:bookmarkEnd w:id="34"/>
    <w:bookmarkStart w:id="41" w:name="risk-dao-governance"/>
    <w:p>
      <w:pPr>
        <w:numPr>
          <w:ilvl w:val="0"/>
          <w:numId w:val="1002"/>
        </w:numPr>
        <w:pStyle w:val="Heading2"/>
      </w:pPr>
      <w:r>
        <w:t xml:space="preserve">RISK ASSESSMENT AND MANAGEMENT</w:t>
      </w:r>
    </w:p>
    <w:bookmarkStart w:id="40" w:name="risk-management-dao-governance"/>
    <w:p>
      <w:pPr>
        <w:numPr>
          <w:ilvl w:val="1"/>
          <w:numId w:val="1002"/>
        </w:numPr>
        <w:pStyle w:val="Heading3"/>
      </w:pPr>
      <w:r>
        <w:t xml:space="preserve">Risk Assessment and Management</w:t>
      </w:r>
    </w:p>
    <w:bookmarkStart w:id="35" w:name="threats-dao-governance"/>
    <w:p>
      <w:pPr>
        <w:numPr>
          <w:ilvl w:val="2"/>
          <w:numId w:val="1002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55"/>
        <w:gridCol w:w="2621"/>
        <w:gridCol w:w="3931"/>
        <w:gridCol w:w="2153"/>
      </w:tblGrid>
      <w:tr>
        <w:trPr>
          <w:tblHeader w:val="on"/>
        </w:trP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Initial Risk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deanonymization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commitment or receipt linked back to public wallet history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Governance preference exposure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Vote choice linked to wallet, role, or delegated-weight profile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profiling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Organization membership and role expose affiliations or power structure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Inaccurate eligibility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Stale membership snapshot or unverified wallet control allows wrong participation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receipt compromise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 storage exposes proposal/account participation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5"/>
    <w:bookmarkStart w:id="36" w:name="mitigations-dao-governance"/>
    <w:p>
      <w:pPr>
        <w:numPr>
          <w:ilvl w:val="2"/>
          <w:numId w:val="1002"/>
        </w:numPr>
        <w:pStyle w:val="Heading4"/>
      </w:pPr>
      <w:r>
        <w:t xml:space="preserve">Additional Mitigating 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6458"/>
        <w:gridCol w:w="1966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 wallet ownership proof before production use of wallet identity mode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account commitments per organization and proposal where feasible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membership snapshot retention and correction process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 local receipt clear/export controls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Document whether governance votes are public, pseudonymous, or unlinkable per deployment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</w:tbl>
    <w:bookmarkEnd w:id="36"/>
    <w:bookmarkStart w:id="37" w:name="dpia-audit-dao-governance"/>
    <w:p>
      <w:pPr>
        <w:numPr>
          <w:ilvl w:val="2"/>
          <w:numId w:val="1002"/>
        </w:numPr>
        <w:pStyle w:val="Heading4"/>
      </w:pPr>
      <w:r>
        <w:t xml:space="preserve">DPIA Audit Findings</w:t>
      </w:r>
    </w:p>
    <w:p>
      <w:pPr>
        <w:pStyle w:val="FirstParagraph"/>
      </w:pPr>
      <w:r>
        <w:t xml:space="preserve">This DPIA is the audit record for the DAO, wallet, and delegated governance processing pattern. The following findings must be resolved in this DPIA or in a customer-specific version before production.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4493"/>
        <w:gridCol w:w="2902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Audit Area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Finding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Current Status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Patent posture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Write-side canonical state may reduce account–governance-choice linkage only if the rejection predicate, scoped identity derivation, and intermediate-state exclusion are implemented and evidenced.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 tests exist for core state-machine invariants; DAO/wallet evidence link pending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/ reconcile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Delegation, recovery, reveal, or adverse-action workflows must be single-subject, audited, and non-enumerable.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reconcile policy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partitioning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Identify wallet verifier, IDV/auth provider if any, linkage store, reconciling authority, canonical commit authority, and telemetry/support provider.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provider matrix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linkability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history, token holdings, delegation graph, or public account activity may identify the participant regardless of canonical unlinkability.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High; wallet minimization and notice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Governance fairness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Weighting, delegation, eligibility snapshots, and challenge processes may create profiling or exclusion harms.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controller governance rules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Residual risk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This DPIA cannot be approved for production until identity mode, delegation model, retention, and adverse-action controls are fixed.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acceptable for production until completed</w:t>
            </w:r>
          </w:p>
        </w:tc>
      </w:tr>
    </w:tbl>
    <w:bookmarkEnd w:id="37"/>
    <w:bookmarkStart w:id="38" w:name="compliance-instructions-dao-governance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pStyle w:val="FirstParagraph"/>
      </w:pPr>
      <w:r>
        <w:t xml:space="preserve">For the non-code governance residuals identified in this DPIA, the operator is instructed by the</w:t>
      </w:r>
      <w:r>
        <w:t xml:space="preserve"> </w:t>
      </w:r>
      <w:r>
        <w:rPr>
          <w:b/>
          <w:bCs/>
        </w:rPr>
        <w:t xml:space="preserve">Shyware SDK Compliance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patent/mainhub/dpia/source/COMPLIANCE_GUIDE.tex</w:t>
      </w:r>
      <w:r>
        <w:t xml:space="preserve">; published at</w:t>
      </w:r>
      <w:r>
        <w:t xml:space="preserve"> </w:t>
      </w:r>
      <w:r>
        <w:rPr>
          <w:rStyle w:val="VerbatimChar"/>
        </w:rPr>
        <w:t xml:space="preserve">https://shyware.fyi/legal</w:t>
      </w:r>
      <w:r>
        <w:t xml:space="preserve">). Key operator obligations: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 Template in Compliance Guide §Operator Obligations.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all subprocessors listed in the generated Records of Processing (</w:t>
      </w:r>
      <w:r>
        <w:rPr>
          <w:rStyle w:val="VerbatimChar"/>
        </w:rPr>
        <w:t xml:space="preserve">node scripts/generate-rop.mjs --config shyconfig.json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fields; maintain under Art. 30(1).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operationally enforce the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key independence</w:t>
      </w:r>
      <w:r>
        <w:t xml:space="preserve"> </w:t>
      </w:r>
      <w:r>
        <w:t xml:space="preserve">— Verify at scoping-identifier creation that eligibility_authority_key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reconciling_authority_key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auth_key.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independent audit</w:t>
      </w:r>
      <w:r>
        <w:t xml:space="preserve"> </w:t>
      </w:r>
      <w:r>
        <w:t xml:space="preserve">— Engage an independent auditor to verify three-authority operational separation before production.</w:t>
      </w:r>
    </w:p>
    <w:bookmarkEnd w:id="38"/>
    <w:bookmarkStart w:id="39" w:name="residual-risk-dao-governance"/>
    <w:p>
      <w:pPr>
        <w:numPr>
          <w:ilvl w:val="2"/>
          <w:numId w:val="1002"/>
        </w:numPr>
        <w:pStyle w:val="Heading4"/>
      </w:pPr>
      <w:r>
        <w:t xml:space="preserve">Residual Risk Assessment</w:t>
      </w:r>
    </w:p>
    <w:p>
      <w:pPr>
        <w:pStyle w:val="FirstParagraph"/>
      </w:pPr>
      <w:r>
        <w:t xml:space="preserve">The residual scores below assume the core Shyware twin-kernel controls are implemented and evidence-linked. The software evidence for the core kernel may be complete while DAO/wallet governance choices, wallet-linkability exposure, delegation rules, fairness, appeal, or adverse-action workflows still need to be fixed for this domain. These scores describe residual domain risk after validation; they do not say the kernel tests were missing.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370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Wallet/account re-identification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Scoped commitments, wallet minimization, notice, and no reusable cross-product identifier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wallet-mode review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Delegation or governance profiling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minimization, retention limits, and controller governance rules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controller rules and notices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Recovery/reveal misuse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Non-enumerable reconcile API, audit logs, provider partitioning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recovery is tightly scoped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 or weighting unfairness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Snapshot rules, challenge process, and human review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fairness and appeal controls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consolidation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matrix for wallet verifier, IDV/auth, linkage, reconcile, commit, and telemetry roles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no ordinary single provider can reconstruct linkage alone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Adverse-action or freeze workflow misuse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Typed action limits, audit logs, customer approval, and appeal process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adverse-action process</w:t>
            </w:r>
          </w:p>
        </w:tc>
      </w:tr>
    </w:tbl>
    <w:bookmarkEnd w:id="39"/>
    <w:bookmarkEnd w:id="40"/>
    <w:bookmarkEnd w:id="41"/>
    <w:bookmarkStart w:id="42" w:name="interested-parties-dao-governance"/>
    <w:p>
      <w:pPr>
        <w:numPr>
          <w:ilvl w:val="0"/>
          <w:numId w:val="1002"/>
        </w:numPr>
        <w:pStyle w:val="Heading2"/>
      </w:pPr>
      <w:r>
        <w:t xml:space="preserve">INVOLVEMENT OF INTERESTED PARTIES</w:t>
      </w:r>
    </w:p>
    <w:p>
      <w:pPr>
        <w:pStyle w:val="FirstParagraph"/>
      </w:pPr>
      <w:r>
        <w:t xml:space="preserve">Customer governance admins, DAO representatives, member representatives, and privacy/security stakeholders should review this DPIA. Consultation is especially important where governance concerns employment, political association, financial protocol control, or member benefits.</w:t>
      </w:r>
    </w:p>
    <w:bookmarkEnd w:id="42"/>
    <w:bookmarkStart w:id="43" w:name="conclusion-dao-governance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Separate DPIA required before production deployment. Proceed only after wallet proof, commitment scoping, membership snapshot retention, receipt handling, and public/private governance disclosure posture are fixed.</w:t>
      </w:r>
    </w:p>
    <w:bookmarkEnd w:id="43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2026-05-24T18:51:49Z</dcterms:created>
  <dcterms:modified xsi:type="dcterms:W3CDTF">2026-05-24T18:51:49Z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