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37" w:name="shyware-data-processing-agreement"/>
    <w:p>
      <w:pPr>
        <w:pStyle w:val="Heading1"/>
      </w:pPr>
      <w:r>
        <w:t xml:space="preserve">Shyware Data Processing</w:t>
      </w:r>
      <w:r>
        <w:t xml:space="preserve"> </w:t>
      </w:r>
      <w:r>
        <w:t xml:space="preserve">Agreement</w:t>
      </w:r>
    </w:p>
    <w:p>
      <w:pPr>
        <w:pStyle w:val="FirstParagraph"/>
      </w:pPr>
      <w:r>
        <w:t xml:space="preserve">Effective date: upon publication at</w:t>
      </w:r>
      <w:r>
        <w:t xml:space="preserve"> </w:t>
      </w:r>
      <w:r>
        <w:rPr>
          <w:rStyle w:val="VerbatimChar"/>
        </w:rPr>
        <w:t xml:space="preserve">https://shyware.fyi/legal/privacy/dpia/dpa/</w:t>
      </w:r>
    </w:p>
    <w:p>
      <w:pPr>
        <w:pStyle w:val="BodyText"/>
      </w:pPr>
      <w:r>
        <w:t xml:space="preserve">This Data Processing Agreement is incorporated into the Shyware Terms of</w:t>
      </w:r>
      <w:r>
        <w:t xml:space="preserve"> </w:t>
      </w:r>
      <w:r>
        <w:t xml:space="preserve">Service, order form, master services agreement, or other written</w:t>
      </w:r>
      <w:r>
        <w:t xml:space="preserve"> </w:t>
      </w:r>
      <w:r>
        <w:t xml:space="preserve">agreement that references it. It applies when Shyware processes personal</w:t>
      </w:r>
      <w:r>
        <w:t xml:space="preserve"> </w:t>
      </w:r>
      <w:r>
        <w:t xml:space="preserve">data on behalf of a customer in connection with Shyware SDK, hosted</w:t>
      </w:r>
      <w:r>
        <w:t xml:space="preserve"> </w:t>
      </w:r>
      <w:r>
        <w:t xml:space="preserve">services, support, reconciliation, audit, security, or related services.</w:t>
      </w:r>
    </w:p>
    <w:bookmarkStart w:id="18" w:name="parties-and-roles"/>
    <w:p>
      <w:pPr>
        <w:numPr>
          <w:ilvl w:val="0"/>
          <w:numId w:val="1001"/>
        </w:numPr>
        <w:pStyle w:val="Heading2"/>
      </w:pPr>
      <w:r>
        <w:t xml:space="preserve">Parties and Roles</w:t>
      </w:r>
    </w:p>
    <w:p>
      <w:pPr>
        <w:pStyle w:val="FirstParagraph"/>
      </w:pPr>
      <w:r>
        <w:t xml:space="preserve">The customer is the controller of customer personal data. Shyware is the</w:t>
      </w:r>
      <w:r>
        <w:t xml:space="preserve"> </w:t>
      </w:r>
      <w:r>
        <w:t xml:space="preserve">processor of customer personal data. If the customer acts as a processor</w:t>
      </w:r>
      <w:r>
        <w:t xml:space="preserve"> </w:t>
      </w:r>
      <w:r>
        <w:t xml:space="preserve">for a third-party controller, Shyware acts as the customer’s</w:t>
      </w:r>
      <w:r>
        <w:t xml:space="preserve"> </w:t>
      </w:r>
      <w:r>
        <w:t xml:space="preserve">subprocessor and the customer represents that it has authority to</w:t>
      </w:r>
      <w:r>
        <w:t xml:space="preserve"> </w:t>
      </w:r>
      <w:r>
        <w:t xml:space="preserve">appoint Shyware.</w:t>
      </w:r>
    </w:p>
    <w:bookmarkEnd w:id="18"/>
    <w:bookmarkStart w:id="19" w:name="definitions"/>
    <w:p>
      <w:pPr>
        <w:numPr>
          <w:ilvl w:val="0"/>
          <w:numId w:val="1001"/>
        </w:numPr>
        <w:pStyle w:val="Heading2"/>
      </w:pPr>
      <w:r>
        <w:t xml:space="preserve">Definitions</w:t>
      </w:r>
    </w:p>
    <w:p>
      <w:pPr>
        <w:pStyle w:val="FirstParagraph"/>
      </w:pPr>
      <w:r>
        <w:t xml:space="preserve">Terms such as controller, processor, personal data, processing, data</w:t>
      </w:r>
      <w:r>
        <w:t xml:space="preserve"> </w:t>
      </w:r>
      <w:r>
        <w:t xml:space="preserve">subject, personal data breach, and supervisory authority have the</w:t>
      </w:r>
      <w:r>
        <w:t xml:space="preserve"> </w:t>
      </w:r>
      <w:r>
        <w:t xml:space="preserve">meanings given in applicable data protection law. Applicable data</w:t>
      </w:r>
      <w:r>
        <w:t xml:space="preserve"> </w:t>
      </w:r>
      <w:r>
        <w:t xml:space="preserve">protection law includes the GDPR, UK GDPR, Swiss data protection law,</w:t>
      </w:r>
      <w:r>
        <w:t xml:space="preserve"> </w:t>
      </w:r>
      <w:r>
        <w:t xml:space="preserve">and other privacy or data protection laws that apply to the processing.</w:t>
      </w:r>
    </w:p>
    <w:bookmarkEnd w:id="19"/>
    <w:bookmarkStart w:id="20" w:name="processing-details"/>
    <w:p>
      <w:pPr>
        <w:numPr>
          <w:ilvl w:val="0"/>
          <w:numId w:val="1001"/>
        </w:numPr>
        <w:pStyle w:val="Heading2"/>
      </w:pPr>
      <w:r>
        <w:t xml:space="preserve">Processing Details</w:t>
      </w:r>
    </w:p>
    <w:p>
      <w:pPr>
        <w:pStyle w:val="FirstParagraph"/>
      </w:pPr>
      <w:r>
        <w:t xml:space="preserve">The subject matter, duration, nature, purpose, data categories, and data</w:t>
      </w:r>
      <w:r>
        <w:t xml:space="preserve"> </w:t>
      </w:r>
      <w:r>
        <w:t xml:space="preserve">subject categories are described in Annex A.</w:t>
      </w:r>
    </w:p>
    <w:bookmarkEnd w:id="20"/>
    <w:bookmarkStart w:id="21" w:name="customer-instructions"/>
    <w:p>
      <w:pPr>
        <w:numPr>
          <w:ilvl w:val="0"/>
          <w:numId w:val="1001"/>
        </w:numPr>
        <w:pStyle w:val="Heading2"/>
      </w:pPr>
      <w:r>
        <w:t xml:space="preserve">Customer Instructions</w:t>
      </w:r>
    </w:p>
    <w:p>
      <w:pPr>
        <w:pStyle w:val="FirstParagraph"/>
      </w:pPr>
      <w:r>
        <w:t xml:space="preserve">Shyware will process customer personal data only on documented customer</w:t>
      </w:r>
      <w:r>
        <w:t xml:space="preserve"> </w:t>
      </w:r>
      <w:r>
        <w:t xml:space="preserve">instructions, including instructions in the agreement, product</w:t>
      </w:r>
      <w:r>
        <w:t xml:space="preserve"> </w:t>
      </w:r>
      <w:r>
        <w:t xml:space="preserve">configuration, authorized administrator actions, support requests, and</w:t>
      </w:r>
      <w:r>
        <w:t xml:space="preserve"> </w:t>
      </w:r>
      <w:r>
        <w:t xml:space="preserve">this DPA. Shyware will promptly inform the customer if Shyware believes</w:t>
      </w:r>
      <w:r>
        <w:t xml:space="preserve"> </w:t>
      </w:r>
      <w:r>
        <w:t xml:space="preserve">an instruction infringes applicable data protection law, unless</w:t>
      </w:r>
      <w:r>
        <w:t xml:space="preserve"> </w:t>
      </w:r>
      <w:r>
        <w:t xml:space="preserve">prohibited by law from doing so.</w:t>
      </w:r>
    </w:p>
    <w:bookmarkEnd w:id="21"/>
    <w:bookmarkStart w:id="22" w:name="confidentiality"/>
    <w:p>
      <w:pPr>
        <w:numPr>
          <w:ilvl w:val="0"/>
          <w:numId w:val="1001"/>
        </w:numPr>
        <w:pStyle w:val="Heading2"/>
      </w:pPr>
      <w:r>
        <w:t xml:space="preserve">Confidentiality</w:t>
      </w:r>
    </w:p>
    <w:p>
      <w:pPr>
        <w:pStyle w:val="FirstParagraph"/>
      </w:pPr>
      <w:r>
        <w:t xml:space="preserve">Shyware will ensure that personnel authorized to process customer</w:t>
      </w:r>
      <w:r>
        <w:t xml:space="preserve"> </w:t>
      </w:r>
      <w:r>
        <w:t xml:space="preserve">personal data are bound by confidentiality obligations or are subject to</w:t>
      </w:r>
      <w:r>
        <w:t xml:space="preserve"> </w:t>
      </w:r>
      <w:r>
        <w:t xml:space="preserve">appropriate statutory confidentiality obligations.</w:t>
      </w:r>
    </w:p>
    <w:bookmarkEnd w:id="22"/>
    <w:bookmarkStart w:id="23" w:name="security"/>
    <w:p>
      <w:pPr>
        <w:numPr>
          <w:ilvl w:val="0"/>
          <w:numId w:val="1001"/>
        </w:numPr>
        <w:pStyle w:val="Heading2"/>
      </w:pPr>
      <w:r>
        <w:t xml:space="preserve">Security</w:t>
      </w:r>
    </w:p>
    <w:p>
      <w:pPr>
        <w:pStyle w:val="FirstParagraph"/>
      </w:pPr>
      <w:r>
        <w:t xml:space="preserve">Shyware will implement and maintain appropriate technical and</w:t>
      </w:r>
      <w:r>
        <w:t xml:space="preserve"> </w:t>
      </w:r>
      <w:r>
        <w:t xml:space="preserve">organizational measures designed to protect customer personal data</w:t>
      </w:r>
      <w:r>
        <w:t xml:space="preserve"> </w:t>
      </w:r>
      <w:r>
        <w:t xml:space="preserve">against unauthorized or unlawful processing and against accidental loss,</w:t>
      </w:r>
      <w:r>
        <w:t xml:space="preserve"> </w:t>
      </w:r>
      <w:r>
        <w:t xml:space="preserve">destruction, damage, alteration, or disclosure. The baseline measures</w:t>
      </w:r>
      <w:r>
        <w:t xml:space="preserve"> </w:t>
      </w:r>
      <w:r>
        <w:t xml:space="preserve">are described in Annex B.</w:t>
      </w:r>
    </w:p>
    <w:bookmarkEnd w:id="23"/>
    <w:bookmarkStart w:id="24" w:name="subprocessors"/>
    <w:p>
      <w:pPr>
        <w:numPr>
          <w:ilvl w:val="0"/>
          <w:numId w:val="1001"/>
        </w:numPr>
        <w:pStyle w:val="Heading2"/>
      </w:pPr>
      <w:r>
        <w:t xml:space="preserve">Subprocessors</w:t>
      </w:r>
    </w:p>
    <w:p>
      <w:pPr>
        <w:pStyle w:val="FirstParagraph"/>
      </w:pPr>
      <w:r>
        <w:t xml:space="preserve">The customer grants Shyware general authorization to engage</w:t>
      </w:r>
      <w:r>
        <w:t xml:space="preserve"> </w:t>
      </w:r>
      <w:r>
        <w:t xml:space="preserve">subprocessors. Shyware will impose written data protection obligations</w:t>
      </w:r>
      <w:r>
        <w:t xml:space="preserve"> </w:t>
      </w:r>
      <w:r>
        <w:t xml:space="preserve">on subprocessors that are no less protective in substance than this DPA</w:t>
      </w:r>
      <w:r>
        <w:t xml:space="preserve"> </w:t>
      </w:r>
      <w:r>
        <w:t xml:space="preserve">for the services they provide.</w:t>
      </w:r>
    </w:p>
    <w:p>
      <w:pPr>
        <w:pStyle w:val="BodyText"/>
      </w:pPr>
      <w:r>
        <w:t xml:space="preserve">Shyware will maintain a current subprocessor list at or linked from</w:t>
      </w:r>
      <w:r>
        <w:t xml:space="preserve"> </w:t>
      </w:r>
      <w:r>
        <w:rPr>
          <w:rStyle w:val="VerbatimChar"/>
        </w:rPr>
        <w:t xml:space="preserve">https://shyware.fyi/legal/privacy/dpia/dpa/</w:t>
      </w:r>
      <w:r>
        <w:t xml:space="preserve">. Shyware will provide notice of new</w:t>
      </w:r>
      <w:r>
        <w:t xml:space="preserve"> </w:t>
      </w:r>
      <w:r>
        <w:t xml:space="preserve">subprocessors through that page, email, account notice, or another</w:t>
      </w:r>
      <w:r>
        <w:t xml:space="preserve"> </w:t>
      </w:r>
      <w:r>
        <w:t xml:space="preserve">reasonable mechanism. The customer may object to a new subprocessor on</w:t>
      </w:r>
      <w:r>
        <w:t xml:space="preserve"> </w:t>
      </w:r>
      <w:r>
        <w:t xml:space="preserve">reasonable data protection grounds within thirty days after notice. The</w:t>
      </w:r>
      <w:r>
        <w:t xml:space="preserve"> </w:t>
      </w:r>
      <w:r>
        <w:t xml:space="preserve">parties will work in good faith to resolve the objection. If the</w:t>
      </w:r>
      <w:r>
        <w:t xml:space="preserve"> </w:t>
      </w:r>
      <w:r>
        <w:t xml:space="preserve">objection cannot be resolved, the customer may stop using the affected</w:t>
      </w:r>
      <w:r>
        <w:t xml:space="preserve"> </w:t>
      </w:r>
      <w:r>
        <w:t xml:space="preserve">service component.</w:t>
      </w:r>
    </w:p>
    <w:p>
      <w:pPr>
        <w:pStyle w:val="BodyText"/>
      </w:pPr>
      <w:r>
        <w:t xml:space="preserve">Shyware remains responsible to the customer for a subprocessor’s</w:t>
      </w:r>
      <w:r>
        <w:t xml:space="preserve"> </w:t>
      </w:r>
      <w:r>
        <w:t xml:space="preserve">performance of its data protection obligations.</w:t>
      </w:r>
    </w:p>
    <w:bookmarkEnd w:id="24"/>
    <w:bookmarkStart w:id="25" w:name="data-subject-requests"/>
    <w:p>
      <w:pPr>
        <w:numPr>
          <w:ilvl w:val="0"/>
          <w:numId w:val="1001"/>
        </w:numPr>
        <w:pStyle w:val="Heading2"/>
      </w:pPr>
      <w:r>
        <w:t xml:space="preserve">Data Subject Requests</w:t>
      </w:r>
    </w:p>
    <w:p>
      <w:pPr>
        <w:pStyle w:val="FirstParagraph"/>
      </w:pPr>
      <w:r>
        <w:t xml:space="preserve">Taking into account the nature of the processing, Shyware will assist</w:t>
      </w:r>
      <w:r>
        <w:t xml:space="preserve"> </w:t>
      </w:r>
      <w:r>
        <w:t xml:space="preserve">the customer through appropriate technical and organizational measures</w:t>
      </w:r>
      <w:r>
        <w:t xml:space="preserve"> </w:t>
      </w:r>
      <w:r>
        <w:t xml:space="preserve">to respond to data subject requests. Shyware will not independently</w:t>
      </w:r>
      <w:r>
        <w:t xml:space="preserve"> </w:t>
      </w:r>
      <w:r>
        <w:t xml:space="preserve">respond to a data subject request concerning customer personal data</w:t>
      </w:r>
      <w:r>
        <w:t xml:space="preserve"> </w:t>
      </w:r>
      <w:r>
        <w:t xml:space="preserve">except to direct the requester to the customer or as legally required.</w:t>
      </w:r>
    </w:p>
    <w:bookmarkEnd w:id="25"/>
    <w:bookmarkStart w:id="26" w:name="assistance-with-compliance"/>
    <w:p>
      <w:pPr>
        <w:numPr>
          <w:ilvl w:val="0"/>
          <w:numId w:val="1001"/>
        </w:numPr>
        <w:pStyle w:val="Heading2"/>
      </w:pPr>
      <w:r>
        <w:t xml:space="preserve">Assistance With</w:t>
      </w:r>
      <w:r>
        <w:t xml:space="preserve"> </w:t>
      </w:r>
      <w:r>
        <w:t xml:space="preserve">Compliance</w:t>
      </w:r>
    </w:p>
    <w:p>
      <w:pPr>
        <w:pStyle w:val="FirstParagraph"/>
      </w:pPr>
      <w:r>
        <w:t xml:space="preserve">Taking into account the nature of the processing and information</w:t>
      </w:r>
      <w:r>
        <w:t xml:space="preserve"> </w:t>
      </w:r>
      <w:r>
        <w:t xml:space="preserve">available to Shyware, Shyware will reasonably assist the customer with</w:t>
      </w:r>
      <w:r>
        <w:t xml:space="preserve"> </w:t>
      </w:r>
      <w:r>
        <w:t xml:space="preserve">obligations concerning security of processing, personal data breach</w:t>
      </w:r>
      <w:r>
        <w:t xml:space="preserve"> </w:t>
      </w:r>
      <w:r>
        <w:t xml:space="preserve">notification, data protection impact assessments, and prior consultation</w:t>
      </w:r>
      <w:r>
        <w:t xml:space="preserve"> </w:t>
      </w:r>
      <w:r>
        <w:t xml:space="preserve">with supervisory authorities.</w:t>
      </w:r>
    </w:p>
    <w:bookmarkEnd w:id="26"/>
    <w:bookmarkStart w:id="27" w:name="personal-data-breach"/>
    <w:p>
      <w:pPr>
        <w:numPr>
          <w:ilvl w:val="0"/>
          <w:numId w:val="1001"/>
        </w:numPr>
        <w:pStyle w:val="Heading2"/>
      </w:pPr>
      <w:r>
        <w:t xml:space="preserve">Personal Data Breach</w:t>
      </w:r>
    </w:p>
    <w:p>
      <w:pPr>
        <w:pStyle w:val="FirstParagraph"/>
      </w:pPr>
      <w:r>
        <w:t xml:space="preserve">Shyware will notify the customer without undue delay after becoming</w:t>
      </w:r>
      <w:r>
        <w:t xml:space="preserve"> </w:t>
      </w:r>
      <w:r>
        <w:t xml:space="preserve">aware of a personal data breach affecting customer personal data. The</w:t>
      </w:r>
      <w:r>
        <w:t xml:space="preserve"> </w:t>
      </w:r>
      <w:r>
        <w:t xml:space="preserve">notice will include available information reasonably needed by the</w:t>
      </w:r>
      <w:r>
        <w:t xml:space="preserve"> </w:t>
      </w:r>
      <w:r>
        <w:t xml:space="preserve">customer to meet its own breach notification obligations. Shyware may</w:t>
      </w:r>
      <w:r>
        <w:t xml:space="preserve"> </w:t>
      </w:r>
      <w:r>
        <w:t xml:space="preserve">provide information in phases as investigation progresses.</w:t>
      </w:r>
    </w:p>
    <w:bookmarkEnd w:id="27"/>
    <w:bookmarkStart w:id="28" w:name="return-or-deletion"/>
    <w:p>
      <w:pPr>
        <w:numPr>
          <w:ilvl w:val="0"/>
          <w:numId w:val="1001"/>
        </w:numPr>
        <w:pStyle w:val="Heading2"/>
      </w:pPr>
      <w:r>
        <w:t xml:space="preserve">Return or Deletion</w:t>
      </w:r>
    </w:p>
    <w:p>
      <w:pPr>
        <w:pStyle w:val="FirstParagraph"/>
      </w:pPr>
      <w:r>
        <w:t xml:space="preserve">At the end of the services, or upon the customer’s documented</w:t>
      </w:r>
      <w:r>
        <w:t xml:space="preserve"> </w:t>
      </w:r>
      <w:r>
        <w:t xml:space="preserve">instruction, Shyware will delete or return customer personal data unless</w:t>
      </w:r>
      <w:r>
        <w:t xml:space="preserve"> </w:t>
      </w:r>
      <w:r>
        <w:t xml:space="preserve">applicable law requires retention. Deletion may be subject to reasonable</w:t>
      </w:r>
      <w:r>
        <w:t xml:space="preserve"> </w:t>
      </w:r>
      <w:r>
        <w:t xml:space="preserve">backup, archival, security, legal, or audit retention periods, provided</w:t>
      </w:r>
      <w:r>
        <w:t xml:space="preserve"> </w:t>
      </w:r>
      <w:r>
        <w:t xml:space="preserve">retained data remains protected under this DPA.</w:t>
      </w:r>
    </w:p>
    <w:bookmarkEnd w:id="28"/>
    <w:bookmarkStart w:id="29" w:name="audits-and-information"/>
    <w:p>
      <w:pPr>
        <w:numPr>
          <w:ilvl w:val="0"/>
          <w:numId w:val="1001"/>
        </w:numPr>
        <w:pStyle w:val="Heading2"/>
      </w:pPr>
      <w:r>
        <w:t xml:space="preserve">Audits and Information</w:t>
      </w:r>
    </w:p>
    <w:p>
      <w:pPr>
        <w:pStyle w:val="FirstParagraph"/>
      </w:pPr>
      <w:r>
        <w:t xml:space="preserve">Shyware will make available information reasonably necessary to</w:t>
      </w:r>
      <w:r>
        <w:t xml:space="preserve"> </w:t>
      </w:r>
      <w:r>
        <w:t xml:space="preserve">demonstrate compliance with this DPA. The customer may request an audit</w:t>
      </w:r>
      <w:r>
        <w:t xml:space="preserve"> </w:t>
      </w:r>
      <w:r>
        <w:t xml:space="preserve">no more than once per year unless required by a supervisory authority or</w:t>
      </w:r>
      <w:r>
        <w:t xml:space="preserve"> </w:t>
      </w:r>
      <w:r>
        <w:t xml:space="preserve">following a confirmed personal data breach. Audits must be conducted</w:t>
      </w:r>
      <w:r>
        <w:t xml:space="preserve"> </w:t>
      </w:r>
      <w:r>
        <w:t xml:space="preserve">during normal business hours, with reasonable notice, under</w:t>
      </w:r>
      <w:r>
        <w:t xml:space="preserve"> </w:t>
      </w:r>
      <w:r>
        <w:t xml:space="preserve">confidentiality obligations, and in a manner that does not compromise</w:t>
      </w:r>
      <w:r>
        <w:t xml:space="preserve"> </w:t>
      </w:r>
      <w:r>
        <w:t xml:space="preserve">security, confidentiality, or other customers’ data.</w:t>
      </w:r>
    </w:p>
    <w:p>
      <w:pPr>
        <w:pStyle w:val="BodyText"/>
      </w:pPr>
      <w:r>
        <w:t xml:space="preserve">Shyware may satisfy audit requests by providing relevant security</w:t>
      </w:r>
      <w:r>
        <w:t xml:space="preserve"> </w:t>
      </w:r>
      <w:r>
        <w:t xml:space="preserve">documentation, third-party audit reports, certifications, penetration</w:t>
      </w:r>
      <w:r>
        <w:t xml:space="preserve"> </w:t>
      </w:r>
      <w:r>
        <w:t xml:space="preserve">test summaries, architecture summaries, subprocessor information, or</w:t>
      </w:r>
      <w:r>
        <w:t xml:space="preserve"> </w:t>
      </w:r>
      <w:r>
        <w:t xml:space="preserve">written responses.</w:t>
      </w:r>
    </w:p>
    <w:bookmarkEnd w:id="29"/>
    <w:bookmarkStart w:id="30" w:name="international-transfers"/>
    <w:p>
      <w:pPr>
        <w:numPr>
          <w:ilvl w:val="0"/>
          <w:numId w:val="1001"/>
        </w:numPr>
        <w:pStyle w:val="Heading2"/>
      </w:pPr>
      <w:r>
        <w:t xml:space="preserve">International Transfers</w:t>
      </w:r>
    </w:p>
    <w:p>
      <w:pPr>
        <w:pStyle w:val="FirstParagraph"/>
      </w:pPr>
      <w:r>
        <w:t xml:space="preserve">Shyware will not transfer customer personal data from the EEA, UK, or</w:t>
      </w:r>
      <w:r>
        <w:t xml:space="preserve"> </w:t>
      </w:r>
      <w:r>
        <w:t xml:space="preserve">Switzerland to a third country unless a valid transfer mechanism</w:t>
      </w:r>
      <w:r>
        <w:t xml:space="preserve"> </w:t>
      </w:r>
      <w:r>
        <w:t xml:space="preserve">applies. Transfer mechanisms may include standard contractual clauses,</w:t>
      </w:r>
      <w:r>
        <w:t xml:space="preserve"> </w:t>
      </w:r>
      <w:r>
        <w:t xml:space="preserve">the UK international data transfer addendum, adequacy decisions, binding</w:t>
      </w:r>
      <w:r>
        <w:t xml:space="preserve"> </w:t>
      </w:r>
      <w:r>
        <w:t xml:space="preserve">corporate rules, or another lawful mechanism available under applicable</w:t>
      </w:r>
      <w:r>
        <w:t xml:space="preserve"> </w:t>
      </w:r>
      <w:r>
        <w:t xml:space="preserve">data protection law.</w:t>
      </w:r>
    </w:p>
    <w:p>
      <w:pPr>
        <w:pStyle w:val="BodyText"/>
      </w:pPr>
      <w:r>
        <w:t xml:space="preserve">If standard contractual clauses are required, they are incorporated by</w:t>
      </w:r>
      <w:r>
        <w:t xml:space="preserve"> </w:t>
      </w:r>
      <w:r>
        <w:t xml:space="preserve">reference as follows: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335"/>
        <w:gridCol w:w="4025"/>
      </w:tblGrid>
      <w:tr>
        <w:trPr>
          <w:tblHeader w:val="on"/>
        </w:trPr>
        <w:tc>
          <w:tcPr>
            <w:tcW w:type="pct" w:w="2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Transfer Scenario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SCC Module</w:t>
            </w:r>
          </w:p>
        </w:tc>
      </w:tr>
      <w:tr>
        <w:tc>
          <w:tcPr>
            <w:tcW w:type="pct" w:w="2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controller to Shyware processor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Module Two</w:t>
            </w:r>
          </w:p>
        </w:tc>
      </w:tr>
      <w:tr>
        <w:tc>
          <w:tcPr>
            <w:tcW w:type="pct" w:w="2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processor to Shyware subprocessor</w:t>
            </w:r>
          </w:p>
        </w:tc>
        <w:tc>
          <w:tcPr>
            <w:tcW w:type="pct" w:w="21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Module Three</w:t>
            </w:r>
          </w:p>
        </w:tc>
      </w:tr>
    </w:tbl>
    <w:p>
      <w:pPr>
        <w:pStyle w:val="BodyText"/>
      </w:pPr>
      <w:r>
        <w:t xml:space="preserve">For Module Two or Module Three, the Annexes to this DPA provide the</w:t>
      </w:r>
      <w:r>
        <w:t xml:space="preserve"> </w:t>
      </w:r>
      <w:r>
        <w:t xml:space="preserve">processing description, security measures, and subprocessor information.</w:t>
      </w:r>
    </w:p>
    <w:bookmarkEnd w:id="30"/>
    <w:bookmarkStart w:id="31" w:name="government-and-third-party-requests"/>
    <w:p>
      <w:pPr>
        <w:numPr>
          <w:ilvl w:val="0"/>
          <w:numId w:val="1001"/>
        </w:numPr>
        <w:pStyle w:val="Heading2"/>
      </w:pPr>
      <w:r>
        <w:t xml:space="preserve">Government and Third-Party</w:t>
      </w:r>
      <w:r>
        <w:t xml:space="preserve"> </w:t>
      </w:r>
      <w:r>
        <w:t xml:space="preserve">Requests</w:t>
      </w:r>
    </w:p>
    <w:p>
      <w:pPr>
        <w:pStyle w:val="FirstParagraph"/>
      </w:pPr>
      <w:r>
        <w:t xml:space="preserve">Shyware will not disclose customer personal data to a government</w:t>
      </w:r>
      <w:r>
        <w:t xml:space="preserve"> </w:t>
      </w:r>
      <w:r>
        <w:t xml:space="preserve">authority or third party unless required by law or authorized by the</w:t>
      </w:r>
      <w:r>
        <w:t xml:space="preserve"> </w:t>
      </w:r>
      <w:r>
        <w:t xml:space="preserve">customer. If legally permitted, Shyware will notify the customer of the</w:t>
      </w:r>
      <w:r>
        <w:t xml:space="preserve"> </w:t>
      </w:r>
      <w:r>
        <w:t xml:space="preserve">request and allow the customer to seek protective treatment.</w:t>
      </w:r>
    </w:p>
    <w:bookmarkEnd w:id="31"/>
    <w:bookmarkStart w:id="32" w:name="customer-obligations"/>
    <w:p>
      <w:pPr>
        <w:numPr>
          <w:ilvl w:val="0"/>
          <w:numId w:val="1001"/>
        </w:numPr>
        <w:pStyle w:val="Heading2"/>
      </w:pPr>
      <w:r>
        <w:t xml:space="preserve">Customer Obligations</w:t>
      </w:r>
    </w:p>
    <w:p>
      <w:pPr>
        <w:pStyle w:val="FirstParagraph"/>
      </w:pPr>
      <w:r>
        <w:t xml:space="preserve">The customer is responsible for: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557"/>
        <w:gridCol w:w="5803"/>
      </w:tblGrid>
      <w:tr>
        <w:trPr>
          <w:tblHeader w:val="on"/>
        </w:trP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Obligation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Lawful basis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Establishing and documenting the lawful basis for</w:t>
            </w:r>
            <w:r>
              <w:t xml:space="preserve"> </w:t>
            </w:r>
            <w:r>
              <w:t xml:space="preserve">customer processing.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Notices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Providing required privacy notices to data subjects.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Instructions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Ensuring instructions to Shyware are lawful and</w:t>
            </w:r>
            <w:r>
              <w:t xml:space="preserve"> </w:t>
            </w:r>
            <w:r>
              <w:t xml:space="preserve">documented.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minimization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Configuring the SDK to send only data needed for the</w:t>
            </w:r>
            <w:r>
              <w:t xml:space="preserve"> </w:t>
            </w:r>
            <w:r>
              <w:t xml:space="preserve">customer’s purposes.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Sensitive data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Avoiding special-category data, payment credentials,</w:t>
            </w:r>
            <w:r>
              <w:t xml:space="preserve"> </w:t>
            </w:r>
            <w:r>
              <w:t xml:space="preserve">government identifiers, passwords, secrets, or other restricted data</w:t>
            </w:r>
            <w:r>
              <w:t xml:space="preserve"> </w:t>
            </w:r>
            <w:r>
              <w:t xml:space="preserve">unless expressly agreed in writing.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Rights requests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Receiving, evaluating, and responding to data subject</w:t>
            </w:r>
            <w:r>
              <w:t xml:space="preserve"> </w:t>
            </w:r>
            <w:r>
              <w:t xml:space="preserve">requests.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Setting retention and deletion requirements.</w:t>
            </w:r>
          </w:p>
        </w:tc>
      </w:tr>
      <w:tr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End-user relationship</w:t>
            </w:r>
          </w:p>
        </w:tc>
        <w:tc>
          <w:tcPr>
            <w:tcW w:type="pct" w:w="3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Managing the relationship with the customer’s</w:t>
            </w:r>
            <w:r>
              <w:t xml:space="preserve"> </w:t>
            </w:r>
            <w:r>
              <w:t xml:space="preserve">users and customers.</w:t>
            </w:r>
          </w:p>
        </w:tc>
      </w:tr>
    </w:tbl>
    <w:bookmarkEnd w:id="32"/>
    <w:bookmarkStart w:id="33" w:name="order-of-precedence"/>
    <w:p>
      <w:pPr>
        <w:numPr>
          <w:ilvl w:val="0"/>
          <w:numId w:val="1001"/>
        </w:numPr>
        <w:pStyle w:val="Heading2"/>
      </w:pPr>
      <w:r>
        <w:t xml:space="preserve">Order of Precedence</w:t>
      </w:r>
    </w:p>
    <w:p>
      <w:pPr>
        <w:pStyle w:val="FirstParagraph"/>
      </w:pPr>
      <w:r>
        <w:t xml:space="preserve">If this DPA conflicts with the agreement, this DPA controls for data</w:t>
      </w:r>
      <w:r>
        <w:t xml:space="preserve"> </w:t>
      </w:r>
      <w:r>
        <w:t xml:space="preserve">protection matters. If standard contractual clauses apply and conflict</w:t>
      </w:r>
      <w:r>
        <w:t xml:space="preserve"> </w:t>
      </w:r>
      <w:r>
        <w:t xml:space="preserve">with this DPA or the agreement, the standard contractual clauses control</w:t>
      </w:r>
      <w:r>
        <w:t xml:space="preserve"> </w:t>
      </w:r>
      <w:r>
        <w:t xml:space="preserve">for the conflicting transfer issue.</w:t>
      </w:r>
    </w:p>
    <w:bookmarkEnd w:id="33"/>
    <w:bookmarkStart w:id="34" w:name="annex-a-processing-details"/>
    <w:p>
      <w:pPr>
        <w:pStyle w:val="Heading2"/>
      </w:pPr>
      <w:r>
        <w:t xml:space="preserve">Annex A: Processing</w:t>
      </w:r>
      <w:r>
        <w:t xml:space="preserve"> </w:t>
      </w:r>
      <w:r>
        <w:t xml:space="preserve">Details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370"/>
        <w:gridCol w:w="5990"/>
      </w:tblGrid>
      <w:tr>
        <w:trPr>
          <w:tblHeader w:val="on"/>
        </w:trP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Topic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Subject matter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Shyware SDK, hosted services, reconciliation services,</w:t>
            </w:r>
            <w:r>
              <w:t xml:space="preserve"> </w:t>
            </w:r>
            <w:r>
              <w:t xml:space="preserve">audit services, support, security, maintenance, and related</w:t>
            </w:r>
            <w:r>
              <w:t xml:space="preserve"> </w:t>
            </w:r>
            <w:r>
              <w:t xml:space="preserve">processing.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For the term of the agreement and any post-termination period</w:t>
            </w:r>
            <w:r>
              <w:t xml:space="preserve"> </w:t>
            </w:r>
            <w:r>
              <w:t xml:space="preserve">needed for deletion, return, backup retention, legal compliance, audit,</w:t>
            </w:r>
            <w:r>
              <w:t xml:space="preserve"> </w:t>
            </w:r>
            <w:r>
              <w:t xml:space="preserve">or dispute resolution.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Nature of processing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Collection, receipt, transmission, storage,</w:t>
            </w:r>
            <w:r>
              <w:t xml:space="preserve"> </w:t>
            </w:r>
            <w:r>
              <w:t xml:space="preserve">structuring, sealing, hashing, retrieval, reconciliation, deletion,</w:t>
            </w:r>
            <w:r>
              <w:t xml:space="preserve"> </w:t>
            </w:r>
            <w:r>
              <w:t xml:space="preserve">security monitoring, audit, support, and service operation.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Providing Shyware services to the customer, securing the</w:t>
            </w:r>
            <w:r>
              <w:t xml:space="preserve"> </w:t>
            </w:r>
            <w:r>
              <w:t xml:space="preserve">services, supporting customer workflows, enabling reconciliation and</w:t>
            </w:r>
            <w:r>
              <w:t xml:space="preserve"> </w:t>
            </w:r>
            <w:r>
              <w:t xml:space="preserve">audit, complying with lawful customer instructions, and maintaining</w:t>
            </w:r>
            <w:r>
              <w:t xml:space="preserve"> </w:t>
            </w:r>
            <w:r>
              <w:t xml:space="preserve">service integrity.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subjects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end users, customer personnel, authorized</w:t>
            </w:r>
            <w:r>
              <w:t xml:space="preserve"> </w:t>
            </w:r>
            <w:r>
              <w:t xml:space="preserve">administrators, support contacts, and other individuals whose data the</w:t>
            </w:r>
            <w:r>
              <w:t xml:space="preserve"> </w:t>
            </w:r>
            <w:r>
              <w:t xml:space="preserve">customer submits or configures for processing.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Personal data categories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Opaque identifiers, session identifiers,</w:t>
            </w:r>
            <w:r>
              <w:t xml:space="preserve"> </w:t>
            </w:r>
            <w:r>
              <w:t xml:space="preserve">account identifiers, pseudonymous identity values, product event data,</w:t>
            </w:r>
            <w:r>
              <w:t xml:space="preserve"> </w:t>
            </w:r>
            <w:r>
              <w:t xml:space="preserve">timestamps, device/browser metadata, tenant metadata, reconciliation</w:t>
            </w:r>
            <w:r>
              <w:t xml:space="preserve"> </w:t>
            </w:r>
            <w:r>
              <w:t xml:space="preserve">records, audit records, support data, and administrator contact</w:t>
            </w:r>
            <w:r>
              <w:t xml:space="preserve"> </w:t>
            </w:r>
            <w:r>
              <w:t xml:space="preserve">details.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Sensitive data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Not intended for special-category data, biometric</w:t>
            </w:r>
            <w:r>
              <w:t xml:space="preserve"> </w:t>
            </w:r>
            <w:r>
              <w:t xml:space="preserve">templates, payment card data, government identifiers, passwords,</w:t>
            </w:r>
            <w:r>
              <w:t xml:space="preserve"> </w:t>
            </w:r>
            <w:r>
              <w:t xml:space="preserve">authentication secrets, or children’s data unless expressly agreed in</w:t>
            </w:r>
            <w:r>
              <w:t xml:space="preserve"> </w:t>
            </w:r>
            <w:r>
              <w:t xml:space="preserve">writing.</w:t>
            </w:r>
          </w:p>
        </w:tc>
      </w:tr>
      <w:tr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W w:type="pct" w:w="3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Continuous or event-based depending on customer integration</w:t>
            </w:r>
            <w:r>
              <w:t xml:space="preserve"> </w:t>
            </w:r>
            <w:r>
              <w:t xml:space="preserve">and service use.</w:t>
            </w:r>
          </w:p>
        </w:tc>
      </w:tr>
    </w:tbl>
    <w:bookmarkEnd w:id="34"/>
    <w:bookmarkStart w:id="35" w:name="X281eaece7a520f4ee7499072d702816bb95af8f"/>
    <w:p>
      <w:pPr>
        <w:pStyle w:val="Heading2"/>
      </w:pPr>
      <w:r>
        <w:t xml:space="preserve">Annex B: Technical and Organizational</w:t>
      </w:r>
      <w:r>
        <w:t xml:space="preserve"> </w:t>
      </w:r>
      <w:r>
        <w:t xml:space="preserve">Measures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Control Area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Measure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Role-based access, least-privilege practices,</w:t>
            </w:r>
            <w:r>
              <w:t xml:space="preserve"> </w:t>
            </w:r>
            <w:r>
              <w:t xml:space="preserve">administrator access restriction, and access review.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in transit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TLS or equivalent transport protection for</w:t>
            </w:r>
            <w:r>
              <w:t xml:space="preserve"> </w:t>
            </w:r>
            <w:r>
              <w:t xml:space="preserve">service communications.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at rest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Encryption for hosted databases, object storage,</w:t>
            </w:r>
            <w:r>
              <w:t xml:space="preserve"> </w:t>
            </w:r>
            <w:r>
              <w:t xml:space="preserve">and backups where applicable.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Key management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Managed key custody, separation, rotation, and access</w:t>
            </w:r>
            <w:r>
              <w:t xml:space="preserve"> </w:t>
            </w:r>
            <w:r>
              <w:t xml:space="preserve">limitation appropriate to the deployment.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Logical separation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Tenant-aware controls and separation of customer</w:t>
            </w:r>
            <w:r>
              <w:t xml:space="preserve"> </w:t>
            </w:r>
            <w:r>
              <w:t xml:space="preserve">data in hosted service components.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Logging and monitoring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Operational, access, and security logs for</w:t>
            </w:r>
            <w:r>
              <w:t xml:space="preserve"> </w:t>
            </w:r>
            <w:r>
              <w:t xml:space="preserve">service protection and investigation.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Vulnerability management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Dependency review, patching, remediation, and</w:t>
            </w:r>
            <w:r>
              <w:t xml:space="preserve"> </w:t>
            </w:r>
            <w:r>
              <w:t xml:space="preserve">vulnerability intake.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Triage, containment, investigation, remediation, and</w:t>
            </w:r>
            <w:r>
              <w:t xml:space="preserve"> </w:t>
            </w:r>
            <w:r>
              <w:t xml:space="preserve">customer notification workflow.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Personnel confidentiality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Confidentiality obligations for personnel</w:t>
            </w:r>
            <w:r>
              <w:t xml:space="preserve"> </w:t>
            </w:r>
            <w:r>
              <w:t xml:space="preserve">and contractors with access to customer personal data.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Subprocessor controls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Written subprocessor obligations and review of</w:t>
            </w:r>
            <w:r>
              <w:t xml:space="preserve"> </w:t>
            </w:r>
            <w:r>
              <w:t xml:space="preserve">service-critical subprocessors.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Backup and recovery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Backup, restoration, and continuity controls</w:t>
            </w:r>
            <w:r>
              <w:t xml:space="preserve"> </w:t>
            </w:r>
            <w:r>
              <w:t xml:space="preserve">appropriate to the hosted service.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minimization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SDK and architecture controls designed to reduce</w:t>
            </w:r>
            <w:r>
              <w:t xml:space="preserve"> </w:t>
            </w:r>
            <w:r>
              <w:t xml:space="preserve">unnecessary identity-behavior linkage in canonical processing state,</w:t>
            </w:r>
            <w:r>
              <w:t xml:space="preserve"> </w:t>
            </w:r>
            <w:r>
              <w:t xml:space="preserve">without treating off-chain reconcile, endpoint, identity-provider,</w:t>
            </w:r>
            <w:r>
              <w:t xml:space="preserve"> </w:t>
            </w:r>
            <w:r>
              <w:t xml:space="preserve">wallet, telemetry, support, or customer-configured workflows as covered</w:t>
            </w:r>
            <w:r>
              <w:t xml:space="preserve"> </w:t>
            </w:r>
            <w:r>
              <w:t xml:space="preserve">by the canonical-state guarantee.</w:t>
            </w:r>
          </w:p>
        </w:tc>
      </w:tr>
    </w:tbl>
    <w:bookmarkEnd w:id="35"/>
    <w:bookmarkStart w:id="36" w:name="annex-c-subprocessor-categories"/>
    <w:p>
      <w:pPr>
        <w:pStyle w:val="Heading2"/>
      </w:pPr>
      <w:r>
        <w:t xml:space="preserve">Annex C: Subprocessor</w:t>
      </w:r>
      <w:r>
        <w:t xml:space="preserve"> </w:t>
      </w:r>
      <w:r>
        <w:t xml:space="preserve">Categories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118"/>
        <w:gridCol w:w="5242"/>
      </w:tblGrid>
      <w:tr>
        <w:trPr>
          <w:tblHeader w:val="on"/>
        </w:trP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tcW w:type="pct" w:w="2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Cloud infrastructure</w:t>
            </w:r>
          </w:p>
        </w:tc>
        <w:tc>
          <w:tcPr>
            <w:tcW w:type="pct" w:w="2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Hosting, storage, networking, backups, and</w:t>
            </w:r>
            <w:r>
              <w:t xml:space="preserve"> </w:t>
            </w:r>
            <w:r>
              <w:t xml:space="preserve">security infrastructure.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Database and storage</w:t>
            </w:r>
          </w:p>
        </w:tc>
        <w:tc>
          <w:tcPr>
            <w:tcW w:type="pct" w:w="2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Hosted persistence, replication, backup, and</w:t>
            </w:r>
            <w:r>
              <w:t xml:space="preserve"> </w:t>
            </w:r>
            <w:r>
              <w:t xml:space="preserve">recovery.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</w:t>
            </w:r>
          </w:p>
        </w:tc>
        <w:tc>
          <w:tcPr>
            <w:tcW w:type="pct" w:w="2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User-authenticated reconciliation, recovery, or</w:t>
            </w:r>
            <w:r>
              <w:t xml:space="preserve"> </w:t>
            </w:r>
            <w:r>
              <w:t xml:space="preserve">verification workflows when enabled.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Monitoring and security</w:t>
            </w:r>
          </w:p>
        </w:tc>
        <w:tc>
          <w:tcPr>
            <w:tcW w:type="pct" w:w="2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Logging, alerting, vulnerability management,</w:t>
            </w:r>
            <w:r>
              <w:t xml:space="preserve"> </w:t>
            </w:r>
            <w:r>
              <w:t xml:space="preserve">abuse prevention, and incident response.</w:t>
            </w:r>
          </w:p>
        </w:tc>
      </w:tr>
      <w:tr>
        <w:tc>
          <w:tcPr>
            <w:tcW w:type="pct" w:w="2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Support and communications</w:t>
            </w:r>
          </w:p>
        </w:tc>
        <w:tc>
          <w:tcPr>
            <w:tcW w:type="pct" w:w="2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Customer support, legal notices,</w:t>
            </w:r>
            <w:r>
              <w:t xml:space="preserve"> </w:t>
            </w:r>
            <w:r>
              <w:t xml:space="preserve">transactional email, and operational communications.</w:t>
            </w:r>
          </w:p>
        </w:tc>
      </w:tr>
    </w:tbl>
    <w:p>
      <w:pPr>
        <w:pStyle w:val="BodyText"/>
      </w:pPr>
      <w:r>
        <w:t xml:space="preserve">The current named subprocessor list will be maintained at or linked from</w:t>
      </w:r>
      <w:r>
        <w:t xml:space="preserve"> </w:t>
      </w:r>
      <w:r>
        <w:rPr>
          <w:rStyle w:val="VerbatimChar"/>
        </w:rPr>
        <w:t xml:space="preserve">https://shyware.fyi/legal/privacy/dpia/dpa/</w:t>
      </w:r>
      <w:r>
        <w:t xml:space="preserve">.</w:t>
      </w:r>
    </w:p>
    <w:bookmarkEnd w:id="36"/>
    <w:bookmarkEnd w:id="37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Data Processing Agreement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2026-05-24T18:51:43Z</dcterms:created>
  <dcterms:modified xsi:type="dcterms:W3CDTF">2026-05-24T18:51:43Z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