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5" w:name="sub-processor-schedule-attestation"/>
    <w:p>
      <w:pPr>
        <w:pStyle w:val="Heading1"/>
      </w:pPr>
      <w:r>
        <w:t xml:space="preserve">Sub-processor Schedule — Device Attestation Provider</w:t>
      </w:r>
    </w:p>
    <w:p>
      <w:pPr>
        <w:pStyle w:val="FirstParagraph"/>
      </w:pPr>
      <w:r>
        <w:t xml:space="preserve">This schedule governs processing carried out by device attestation providers —</w:t>
      </w:r>
      <w:r>
        <w:t xml:space="preserve"> </w:t>
      </w:r>
      <w:r>
        <w:rPr>
          <w:b/>
          <w:bCs/>
        </w:rPr>
        <w:t xml:space="preserve">Apple App Attest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Play Integrity</w:t>
      </w:r>
      <w:r>
        <w:t xml:space="preserve"> </w:t>
      </w:r>
      <w:r>
        <w:t xml:space="preserve">— in connection with the shyware write-only posture and coercion-resistance guarantee. It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https://shyware.fyi/legal/privacy/dpia/dpa/schedule-attestation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This schedule applies when</w:t>
      </w:r>
      <w:r>
        <w:t xml:space="preserve"> </w:t>
      </w:r>
      <w:r>
        <w:rPr>
          <w:rStyle w:val="VerbatimChar"/>
        </w:rPr>
        <w:t xml:space="preserve">deployment.runtime_fallbacks.write_only_on_missing_play_integrity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write_only_on_untrusted_device_attestation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 shyconfig, which is the default for all non-demo deployments. It applies to Android deployments (Play Integrity API) and iOS deployments (App Attest / DCAppAttestService).</w:t>
      </w:r>
    </w:p>
    <w:bookmarkStart w:id="18" w:name="attestation-role"/>
    <w:p>
      <w:pPr>
        <w:numPr>
          <w:ilvl w:val="0"/>
          <w:numId w:val="1005"/>
        </w:numPr>
        <w:pStyle w:val="Heading2"/>
      </w:pPr>
      <w:r>
        <w:t xml:space="preserve">Role in the Protocol</w:t>
      </w:r>
    </w:p>
    <w:p>
      <w:pPr>
        <w:pStyle w:val="FirstParagraph"/>
      </w:pPr>
      <w:r>
        <w:t xml:space="preserve">Device attestation providers are</w:t>
      </w:r>
      <w:r>
        <w:t xml:space="preserve"> </w:t>
      </w:r>
      <w:r>
        <w:rPr>
          <w:b/>
          <w:bCs/>
        </w:rPr>
        <w:t xml:space="preserve">runtime trust signal providers</w:t>
      </w:r>
      <w:r>
        <w:t xml:space="preserve">, not data authorities in the two-list protocol sense. They occupy a structurally distinct position from the four canonical authorities (Auth, IDV/KYC, Eligibility, Reconciling):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 a data authority:</w:t>
      </w:r>
      <w:r>
        <w:t xml:space="preserve"> </w:t>
      </w:r>
      <w:r>
        <w:t xml:space="preserve">Attestation providers do not write to or read from the canonical List 1 / List 2 ledger. They do not hold the off-chain linkage store. They cannot initiate or co-sign rescissions.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Pre-submission posture gate:</w:t>
      </w:r>
      <w:r>
        <w:t xml:space="preserve"> </w:t>
      </w:r>
      <w:r>
        <w:t xml:space="preserve">The attestation verdict gates whether the submission receives receipt confirmation (recoverable posture) or proceeds as write-only (no receipt). It does not gate whether the submission enters canonical state — the two-list write proceeds regardless.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Closest analogy:</w:t>
      </w:r>
      <w:r>
        <w:t xml:space="preserve"> </w:t>
      </w:r>
      <w:r>
        <w:t xml:space="preserve">A TLS certificate authority. The attestation provider certifies the integrity of the execution environment, not the content of the submission.</w:t>
      </w:r>
    </w:p>
    <w:p>
      <w:pPr>
        <w:pStyle w:val="FirstParagraph"/>
      </w:pPr>
      <w:r>
        <w:t xml:space="preserve">The Mainhub patent makes device attestation a co-launch requirement for all deployments requiring recovery or coercion resistance:</w:t>
      </w:r>
      <w:r>
        <w:t xml:space="preserve"> </w:t>
      </w:r>
      <w:r>
        <w:rPr>
          <w:i/>
          <w:iCs/>
        </w:rPr>
        <w:t xml:space="preserve">“Browser-based deployments are structurally write-only and cannot satisfy non-write-only assurance. The protocol’s architecture is thus mobile-first and attestation-dependent for all deployments requiring recovery or coercion resistance”</w:t>
      </w:r>
      <w:r>
        <w:t xml:space="preserve"> </w:t>
      </w:r>
      <w:r>
        <w:t xml:space="preserve">(composition.tex, l. 1635).</w:t>
      </w:r>
    </w:p>
    <w:bookmarkEnd w:id="18"/>
    <w:bookmarkStart w:id="19" w:name="attestation-role-definition"/>
    <w:p>
      <w:pPr>
        <w:numPr>
          <w:ilvl w:val="0"/>
          <w:numId w:val="1005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276"/>
        <w:gridCol w:w="6084"/>
      </w:tblGrid>
      <w:tr>
        <w:trPr>
          <w:tblHeader w:val="on"/>
        </w:trP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Provider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Google Play Integrity API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Issues signed integrity verdicts for Android apps; verifies app identity, installation source, and device health</w:t>
            </w:r>
          </w:p>
        </w:tc>
      </w:tr>
      <w:tr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Apple App Attest (DCAppAttestService)</w:t>
            </w:r>
          </w:p>
        </w:tc>
        <w:tc>
          <w:tcPr>
            <w:tcW w:type="pct" w:w="3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Issues FIDO2-based attestation assertions for iOS apps; verifies app and device integrity</w:t>
            </w:r>
          </w:p>
        </w:tc>
      </w:tr>
    </w:tbl>
    <w:bookmarkEnd w:id="19"/>
    <w:bookmarkStart w:id="20" w:name="attestation-data-processed"/>
    <w:p>
      <w:pPr>
        <w:numPr>
          <w:ilvl w:val="0"/>
          <w:numId w:val="1005"/>
        </w:numPr>
        <w:pStyle w:val="Heading2"/>
      </w:pPr>
      <w:r>
        <w:t xml:space="preserve">Data Processed by Attestation Providers</w:t>
      </w:r>
    </w:p>
    <w:p>
      <w:pPr>
        <w:pStyle w:val="FirstParagraph"/>
      </w:pPr>
      <w:r>
        <w:t xml:space="preserve">Neither provider receives submission content, identity hashes, ballot direction, or any shyware canonical-state data. The data flow 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Google Play Integrity:</w:t>
      </w:r>
      <w:r>
        <w:t xml:space="preserve"> </w:t>
      </w:r>
      <w:r>
        <w:t xml:space="preserve">The app calls</w:t>
      </w:r>
      <w:r>
        <w:t xml:space="preserve"> </w:t>
      </w:r>
      <w:r>
        <w:rPr>
          <w:rStyle w:val="VerbatimChar"/>
        </w:rPr>
        <w:t xml:space="preserve">IntegrityTokenProvider.requestIntegrityToken(nonce)</w:t>
      </w:r>
      <w:r>
        <w:t xml:space="preserve">. Google receives: app package name, signing certificate hash, Play Store installation status, device model and Android version, Play Services version, and the operator-supplied nonce. Google returns a signed JWT containing the integrity verdict. Google does not receive user identity, submission content, or any shyware protocol data.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Apple App Attest:</w:t>
      </w:r>
      <w:r>
        <w:t xml:space="preserve"> </w:t>
      </w:r>
      <w:r>
        <w:t xml:space="preserve">The app calls</w:t>
      </w:r>
      <w:r>
        <w:t xml:space="preserve"> </w:t>
      </w:r>
      <w:r>
        <w:rPr>
          <w:rStyle w:val="VerbatimChar"/>
        </w:rPr>
        <w:t xml:space="preserve">DCAppAttestService.attestKey(_:clientDataHash:)</w:t>
      </w:r>
      <w:r>
        <w:t xml:space="preserve">. Apple receives: app bundle ID, team ID, device-bound key material (FIDO2 attestation), and a client data hash (SHA-256 of server-supplied challenge). Apple returns an attestation object. Apple does not receive user identity, submission content, or any shyware protocol data.</w:t>
      </w:r>
    </w:p>
    <w:bookmarkEnd w:id="20"/>
    <w:bookmarkStart w:id="21" w:name="attestation-personal-data"/>
    <w:p>
      <w:pPr>
        <w:numPr>
          <w:ilvl w:val="0"/>
          <w:numId w:val="1005"/>
        </w:numPr>
        <w:pStyle w:val="Heading2"/>
      </w:pPr>
      <w:r>
        <w:t xml:space="preserve">Personal Data Processed</w:t>
      </w:r>
    </w:p>
    <w:p>
      <w:pPr>
        <w:pStyle w:val="FirstParagraph"/>
      </w:pPr>
      <w:r>
        <w:t xml:space="preserve">The attestation providers process the following data that may constitute personal data: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714"/>
        <w:gridCol w:w="3089"/>
        <w:gridCol w:w="3557"/>
      </w:tblGrid>
      <w:tr>
        <w:trPr>
          <w:tblHeader w:val="on"/>
        </w:trP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element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Characterisation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Legal basis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Network IP address (implicit in API call)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Personal data where linkable to natural person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 (app integrity verification); note EDPB guidance on IP addresses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Device model and OS version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 device identifier component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 (fraud/abuse prevention)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App package name / bundle ID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personal data on its own; operator data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personal data</w:t>
            </w:r>
          </w:p>
        </w:tc>
      </w:tr>
      <w:tr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Integrity verdict (MEETS_DEVICE_INTEGRITY etc.)</w:t>
            </w:r>
          </w:p>
        </w:tc>
        <w:tc>
          <w:tcPr>
            <w:tcW w:type="pct" w:w="1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personal data on its own; may be used to infer device quality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Art. 6(1)(f) legitimate interest</w:t>
            </w:r>
          </w:p>
        </w:tc>
      </w:tr>
    </w:tbl>
    <w:p>
      <w:pPr>
        <w:pStyle w:val="BodyText"/>
      </w:pPr>
      <w:r>
        <w:t xml:space="preserve">The IP address is the primary personal data element. In EU deployments, the network call to Google’s or Apple’s attestation APIs may constitute a transfer of personal data to a third country. Operators must confirm SCCs or adequacy for these transfers.</w:t>
      </w:r>
    </w:p>
    <w:bookmarkEnd w:id="21"/>
    <w:bookmarkStart w:id="22" w:name="attestation-structural-constraints"/>
    <w:p>
      <w:pPr>
        <w:numPr>
          <w:ilvl w:val="0"/>
          <w:numId w:val="1005"/>
        </w:numPr>
        <w:pStyle w:val="Heading2"/>
      </w:pPr>
      <w:r>
        <w:t xml:space="preserve">Structural Constraints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Not part of the two-list invariant:</w:t>
      </w:r>
      <w:r>
        <w:t xml:space="preserve"> </w:t>
      </w:r>
      <w:r>
        <w:t xml:space="preserve">The attestation verdict is a runtime input to the shyware SDK’s posture determination logic. It does not appear in List 1 or List 2 of the canonical ledger. It is not written to the off-chain linkage store.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Posture gate only:</w:t>
      </w:r>
      <w:r>
        <w:t xml:space="preserve"> </w:t>
      </w:r>
      <w:r>
        <w:t xml:space="preserve">A failed attestation triggers write-only fallback posture. The submission still enters canonical state; only receipt confirmation is suppressed.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canonical data access:</w:t>
      </w:r>
      <w:r>
        <w:t xml:space="preserve"> </w:t>
      </w:r>
      <w:r>
        <w:t xml:space="preserve">Attestation providers cannot query or modify canonical ledger state.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identity linkage:</w:t>
      </w:r>
      <w:r>
        <w:t xml:space="preserve"> </w:t>
      </w:r>
      <w:r>
        <w:t xml:space="preserve">Attestation providers do not receive the user’s identity, the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claim, or the identity hash derived for List 2. The nonce / client data hash passed to the attestation API is not derived from user identity.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submission linkage:</w:t>
      </w:r>
      <w:r>
        <w:t xml:space="preserve"> </w:t>
      </w:r>
      <w:r>
        <w:t xml:space="preserve">The attestation call is made before the submission transaction is constructed. The attestation token does not encode submission direction, payload, or scoping ID.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Coercion resistance preserved:</w:t>
      </w:r>
      <w:r>
        <w:t xml:space="preserve"> </w:t>
      </w:r>
      <w:r>
        <w:t xml:space="preserve">Even if an attestation provider were compromised or compelled to produce false verdicts, canonical state non-derivability is preserved — the attestation verdict is an input to posture, not to the two-list write or the rejection predicate.</w:t>
      </w:r>
    </w:p>
    <w:bookmarkEnd w:id="22"/>
    <w:bookmarkStart w:id="23" w:name="attestation-operator-obligations"/>
    <w:p>
      <w:pPr>
        <w:numPr>
          <w:ilvl w:val="0"/>
          <w:numId w:val="1005"/>
        </w:numPr>
        <w:pStyle w:val="Heading2"/>
      </w:pPr>
      <w:r>
        <w:t xml:space="preserve">Operator Obligations</w:t>
      </w:r>
    </w:p>
    <w:p>
      <w:pPr>
        <w:numPr>
          <w:ilvl w:val="0"/>
          <w:numId w:val="1004"/>
        </w:numPr>
      </w:pPr>
      <w:r>
        <w:t xml:space="preserve">Register the app with Google Play Integrity API and Apple App Attest before production deployment.</w:t>
      </w:r>
    </w:p>
    <w:p>
      <w:pPr>
        <w:numPr>
          <w:ilvl w:val="0"/>
          <w:numId w:val="1004"/>
        </w:numPr>
      </w:pPr>
      <w:r>
        <w:t xml:space="preserve">Include the attestation provider data flow in the operator’s privacy notice and Records of Processing under Art. 30.</w:t>
      </w:r>
    </w:p>
    <w:p>
      <w:pPr>
        <w:numPr>
          <w:ilvl w:val="0"/>
          <w:numId w:val="1004"/>
        </w:numPr>
      </w:pPr>
      <w:r>
        <w:t xml:space="preserve">Confirm SCCs or adequacy decision for EU personal data transferred to Google (US) and Apple (US) via attestation API calls.</w:t>
      </w:r>
    </w:p>
    <w:p>
      <w:pPr>
        <w:numPr>
          <w:ilvl w:val="0"/>
          <w:numId w:val="1004"/>
        </w:numPr>
      </w:pPr>
      <w:r>
        <w:t xml:space="preserve">Do not pass user identity,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claim, submission content, or scoping ID as the nonce / client data hash to the attestation API. Use a server-generated random challenge only.</w:t>
      </w:r>
    </w:p>
    <w:p>
      <w:pPr>
        <w:numPr>
          <w:ilvl w:val="0"/>
          <w:numId w:val="1004"/>
        </w:numPr>
      </w:pPr>
      <w:r>
        <w:t xml:space="preserve">Implement the</w:t>
      </w:r>
      <w:r>
        <w:t xml:space="preserve"> </w:t>
      </w:r>
      <w:r>
        <w:rPr>
          <w:rStyle w:val="VerbatimChar"/>
        </w:rPr>
        <w:t xml:space="preserve">write_only_on_missing_play_integrity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write_only_on_untrusted_device_attestation</w:t>
      </w:r>
      <w:r>
        <w:t xml:space="preserve"> </w:t>
      </w:r>
      <w:r>
        <w:t xml:space="preserve">fallback flags as specified in shyconfig for all production deployments requiring coercion resistance.</w:t>
      </w:r>
    </w:p>
    <w:p>
      <w:pPr>
        <w:numPr>
          <w:ilvl w:val="0"/>
          <w:numId w:val="1004"/>
        </w:numPr>
      </w:pPr>
      <w:r>
        <w:t xml:space="preserve">Review Google’s and Apple’s DPAs and privacy policies for the attestation APIs before production.</w:t>
      </w:r>
    </w:p>
    <w:bookmarkEnd w:id="23"/>
    <w:bookmarkStart w:id="24" w:name="attestation-hostile-regime"/>
    <w:p>
      <w:pPr>
        <w:numPr>
          <w:ilvl w:val="0"/>
          <w:numId w:val="1005"/>
        </w:numPr>
        <w:pStyle w:val="Heading2"/>
      </w:pPr>
      <w:r>
        <w:t xml:space="preserve">SEDA_HAQQ / Hostile-Regime Note</w:t>
      </w:r>
    </w:p>
    <w:p>
      <w:pPr>
        <w:pStyle w:val="FirstParagraph"/>
      </w:pPr>
      <w:r>
        <w:t xml:space="preserve">In hostile-regime deployments (shyvoting-v1 with</w:t>
      </w:r>
      <w:r>
        <w:t xml:space="preserve"> </w:t>
      </w:r>
      <w:r>
        <w:rPr>
          <w:rStyle w:val="VerbatimChar"/>
        </w:rPr>
        <w:t xml:space="preserve">default_posture: coercion_resistant</w:t>
      </w:r>
      <w:r>
        <w:t xml:space="preserve">), device attestation is the structural foundation of the coercion-resistance guarantee: after submission, the attested device retains only the direction-free submission ID and suppresses all receipt data. A coercer seizing the device gets no evidence of submission direction. This property depends on both the attestation verdict (confirming the execution environment is uncompromised) and the write-only posture enforcement in the shyware SDK. The attestation provider’s role is necessary but not sufficient — the SDK must also implement readback suppression and the device OS must enforce the App Attest / Play Integrity sandbox boundary.</w:t>
      </w:r>
    </w:p>
    <w:p>
      <w:pPr>
        <w:pStyle w:val="BodyText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https://shyware.fyi/legal/privacy/dpia/dpa/schedule-attestation</w:t>
      </w:r>
      <w:r>
        <w:t xml:space="preserve">.</w:t>
      </w:r>
    </w:p>
    <w:bookmarkEnd w:id="24"/>
    <w:bookmarkEnd w:id="2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Attestation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2026-05-24T18:51:44Z</dcterms:created>
  <dcterms:modified xsi:type="dcterms:W3CDTF">2026-05-24T18:51:44Z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