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3" w:name="dpia-index"/>
    <w:p>
      <w:pPr>
        <w:pStyle w:val="Heading1"/>
      </w:pPr>
      <w:r>
        <w:t xml:space="preserve">Shyware DPIA Package</w:t>
      </w:r>
    </w:p>
    <w:p>
      <w:pPr>
        <w:pStyle w:val="FirstParagraph"/>
      </w:pPr>
      <w:r>
        <w:t xml:space="preserve">Published at</w:t>
      </w:r>
      <w:r>
        <w:t xml:space="preserve"> </w:t>
      </w:r>
      <w:r>
        <w:rPr>
          <w:rStyle w:val="VerbatimChar"/>
        </w:rPr>
        <w:t xml:space="preserve">https://shyware.fyi/legal/privacy/dpia/</w:t>
      </w:r>
    </w:p>
    <w:p>
      <w:pPr>
        <w:pStyle w:val="BodyText"/>
      </w:pPr>
      <w:r>
        <w:t xml:space="preserve">This index covers all Data Protection Impact Assessment documents, test evidence, and compliance tooling for the Shyware protocol. All documents are maintained in</w:t>
      </w:r>
      <w:r>
        <w:t xml:space="preserve"> </w:t>
      </w:r>
      <w:r>
        <w:rPr>
          <w:rStyle w:val="VerbatimChar"/>
        </w:rPr>
        <w:t xml:space="preserve">patent/mainhub/dpia/</w:t>
      </w:r>
      <w:r>
        <w:t xml:space="preserve"> </w:t>
      </w:r>
      <w:r>
        <w:t xml:space="preserve">of the Shyware source repository and published here for controller and counsel review.</w:t>
      </w:r>
    </w:p>
    <w:bookmarkStart w:id="18" w:name="dpia-evidence-summary"/>
    <w:p>
      <w:pPr>
        <w:numPr>
          <w:ilvl w:val="0"/>
          <w:numId w:val="1003"/>
        </w:numPr>
        <w:pStyle w:val="Heading2"/>
      </w:pPr>
      <w:r>
        <w:t xml:space="preserve">Evidence Summary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31"/>
        <w:gridCol w:w="5429"/>
      </w:tblGrid>
      <w:tr>
        <w:trPr>
          <w:tblHeader w:val="on"/>
        </w:trP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Total assertions passing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/379 on Stack 4 Node.js, Stack 5 Swift/iOS, and Stack 6 Kotlin/Android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Domains covered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(all shyware contract variants; 3 stacks × 13 domains)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GitHub Actions run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(2026-05-24)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Commit SHA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49256fde4f8f0b6cf8a2a2c465fdd8188d8d9202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Live EC2 + CockroachDB + Cognito + Hyperledger Fabric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Counsel entry point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COUNSEL_BRIEFING.md</w:t>
            </w:r>
          </w:p>
        </w:tc>
      </w:tr>
    </w:tbl>
    <w:bookmarkEnd w:id="18"/>
    <w:bookmarkStart w:id="19" w:name="dpia-dpa-link"/>
    <w:p>
      <w:pPr>
        <w:numPr>
          <w:ilvl w:val="0"/>
          <w:numId w:val="1003"/>
        </w:numPr>
        <w:pStyle w:val="Heading2"/>
      </w:pPr>
      <w:r>
        <w:t xml:space="preserve">Data Processing Agreement</w:t>
      </w:r>
    </w:p>
    <w:p>
      <w:pPr>
        <w:pStyle w:val="FirstParagraph"/>
      </w:pPr>
      <w:r>
        <w:rPr>
          <w:rStyle w:val="VerbatimChar"/>
        </w:rPr>
        <w:t xml:space="preserve">https://shyware.fyi/legal/privacy/dpia/dpa/</w:t>
      </w:r>
    </w:p>
    <w:p>
      <w:pPr>
        <w:pStyle w:val="BodyText"/>
      </w:pPr>
      <w:r>
        <w:t xml:space="preserve">The Shyware Data Processing Agreement governs how Shyware processes personal data as a processor on behalf of customer controllers. Sub-processor schedules for each role are linked from that page.</w:t>
      </w:r>
    </w:p>
    <w:bookmarkEnd w:id="19"/>
    <w:bookmarkStart w:id="20" w:name="dpia-domain-index"/>
    <w:p>
      <w:pPr>
        <w:numPr>
          <w:ilvl w:val="0"/>
          <w:numId w:val="1003"/>
        </w:numPr>
        <w:pStyle w:val="Heading2"/>
      </w:pPr>
      <w:r>
        <w:t xml:space="preserve">Per-domain DPIAs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059"/>
        <w:gridCol w:w="2246"/>
        <w:gridCol w:w="2714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Domain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Contract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 model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Source file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Civic voting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shyvoting-v1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DPIA_CIVIC_VOTING_REFERENDA.tex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value transfer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shywire-v1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DPIA_PRIVATE_VALUE_TRANSFER.tex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chat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shychat-v1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DPIA_PRIVATE_CHAT_SCYTALE_COMMUNICATIONS.tex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 analytics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shybrowser-v1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DPIA_BROWSER_ANALYTICS.tex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Commodity custody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shycustody-v1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DPIA_COMMODITY_CUSTODY_VAULTS.tex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governance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shyshares-v1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DPIA_DAO_WALLET_GOVERNANCE.tex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Revenue financing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shycontracts-v1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DPIA_REVENUE_FINANCING_CONTRACTS.tex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Health record vault (EHR)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DPIA_HEALTH_RECORD_VAULT.tex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 vault / authenticator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DPIA_CREDENTIAL_VAULT_AUTHENTICATOR.tex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Anonymous betting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shybets-v1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DPIA_BETTING_MARKETS.tex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Informant stream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shyrest-v1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DPIA_INFORMANT_STREAM_ANONYMOUS_REVIEW.tex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Sealed-bid auction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shylots-v1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DPIA_SEALED_BID_AUCTION_LOTS.tex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shystream-v1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DPIA_PRIVATE_STREAMING.tex</w:t>
            </w:r>
          </w:p>
        </w:tc>
      </w:tr>
    </w:tbl>
    <w:bookmarkEnd w:id="20"/>
    <w:bookmarkStart w:id="21" w:name="dpia-compliance-tooling"/>
    <w:p>
      <w:pPr>
        <w:numPr>
          <w:ilvl w:val="0"/>
          <w:numId w:val="1003"/>
        </w:numPr>
        <w:pStyle w:val="Heading2"/>
      </w:pPr>
      <w:r>
        <w:t xml:space="preserve">Compliance Tooling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 generator:</w:t>
      </w:r>
      <w:r>
        <w:t xml:space="preserve"> </w:t>
      </w:r>
      <w:r>
        <w:rPr>
          <w:rStyle w:val="VerbatimChar"/>
        </w:rPr>
        <w:t xml:space="preserve">node scripts/generate-rop.mjs --config shyconfig.json</w:t>
      </w:r>
      <w:r>
        <w:t xml:space="preserve"> </w:t>
      </w:r>
      <w:r>
        <w:t xml:space="preserve">— generates pre-filled RoP from any deployment’s shyconfig manifest. 92 assertions verify correct structure for all 13 contract variants.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Retention configuration: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to configure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and populate Art. 30(1)(f).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SDK Compliance Guide:</w:t>
      </w:r>
      <w:r>
        <w:t xml:space="preserve"> </w:t>
      </w:r>
      <w:r>
        <w:rPr>
          <w:rStyle w:val="VerbatimChar"/>
        </w:rPr>
        <w:t xml:space="preserve">https://shyware.fyi/legal/compliance/</w:t>
      </w:r>
      <w:r>
        <w:t xml:space="preserve"> </w:t>
      </w:r>
      <w:r>
        <w:t xml:space="preserve">— operator obligations, DPA obligations, and deployment checklist.</w:t>
      </w:r>
    </w:p>
    <w:bookmarkEnd w:id="21"/>
    <w:bookmarkStart w:id="22" w:name="dpia-residual-risk"/>
    <w:p>
      <w:pPr>
        <w:numPr>
          <w:ilvl w:val="0"/>
          <w:numId w:val="1003"/>
        </w:numPr>
        <w:pStyle w:val="Heading2"/>
      </w:pPr>
      <w:r>
        <w:t xml:space="preserve">Residual Risk Summary</w:t>
      </w:r>
    </w:p>
    <w:p>
      <w:pPr>
        <w:pStyle w:val="FirstParagraph"/>
      </w:pPr>
      <w:r>
        <w:t xml:space="preserve">The following risks are not eliminable by code and require operator governance: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operator establishes per deployment, per jurisdiction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Art. 9 special category consent</w:t>
      </w:r>
      <w:r>
        <w:t xml:space="preserve"> </w:t>
      </w:r>
      <w:r>
        <w:t xml:space="preserve">— biometric processing requires explicit consent; some jurisdictions prohibit it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operator executes with each named provider before processing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Three-authority operational separation</w:t>
      </w:r>
      <w:r>
        <w:t xml:space="preserve"> </w:t>
      </w:r>
      <w:r>
        <w:t xml:space="preserve">— independent keys, separate legal entities, quarterly independent audit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Storage limitation cron enforcement</w:t>
      </w:r>
      <w:r>
        <w:t xml:space="preserve"> </w:t>
      </w:r>
      <w:r>
        <w:t xml:space="preserve">— configurable in shyconfig; operational enforcement is governance</w:t>
      </w:r>
    </w:p>
    <w:p>
      <w:pPr>
        <w:pStyle w:val="FirstParagraph"/>
      </w:pPr>
      <w:r>
        <w:t xml:space="preserve">The structurally unfalsifiable residual is authority collusion: full manipulation requires active coordination across the 3–4 structurally separated parties for each embodiment, each generating an independent auditable trail.</w:t>
      </w:r>
    </w:p>
    <w:bookmarkEnd w:id="22"/>
    <w:bookmarkEnd w:id="23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DPIA Package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2026-05-24T18:51:42Z</dcterms:created>
  <dcterms:modified xsi:type="dcterms:W3CDTF">2026-05-24T18:51:42Z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