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Private Chat and Scytale Communications</w:t>
      </w:r>
    </w:p>
    <w:p>
      <w:r>
        <w:pict>
          <v:rect style="width:0;height:1.5pt" o:hralign="center" o:hrstd="t" o:hr="t"/>
        </w:pict>
      </w:r>
    </w:p>
    <w:bookmarkStart w:id="20" w:name="overview-scytale-chat"/>
    <w:p>
      <w:pPr>
        <w:pStyle w:val="Heading2"/>
      </w:pPr>
      <w:r>
        <w:t xml:space="preserve">OVERVIEW OF THE PROCESSING</w:t>
      </w:r>
    </w:p>
    <w:bookmarkStart w:id="18" w:name="controllers-scytale-chat"/>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Scytale/private chat or customer communications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Consumers/SCYTALE_FYI</w:t>
            </w:r>
            <w:r>
              <w:t xml:space="preserve">;</w:t>
            </w:r>
            <w:r>
              <w:t xml:space="preserve"> </w:t>
            </w:r>
            <w:r>
              <w:rPr>
                <w:rStyle w:val="VerbatimChar"/>
              </w:rPr>
              <w:t xml:space="preserve">chatClient.js</w:t>
            </w:r>
            <w:r>
              <w:t xml:space="preserve">; runtime chat migration;</w:t>
            </w:r>
            <w:r>
              <w:t xml:space="preserve"> </w:t>
            </w:r>
            <w:r>
              <w:rPr>
                <w:rStyle w:val="VerbatimChar"/>
              </w:rPr>
              <w:t xml:space="preserve">patent/mainhub/dpia/evidence_index.md</w:t>
            </w:r>
          </w:p>
        </w:tc>
      </w:tr>
    </w:tbl>
    <w:bookmarkEnd w:id="18"/>
    <w:bookmarkStart w:id="19" w:name="name-scytale-chat"/>
    <w:p>
      <w:pPr>
        <w:pStyle w:val="Heading3"/>
      </w:pPr>
      <w:r>
        <w:t xml:space="preserve">Name of the Processing</w:t>
      </w:r>
    </w:p>
    <w:p>
      <w:pPr>
        <w:pStyle w:val="FirstParagraph"/>
      </w:pPr>
      <w:r>
        <w:rPr>
          <w:b/>
          <w:bCs/>
        </w:rPr>
        <w:t xml:space="preserve">Internal name:</w:t>
      </w:r>
      <w:r>
        <w:t xml:space="preserve"> </w:t>
      </w:r>
      <w:r>
        <w:t xml:space="preserve">Shyware Private Chat / Scytale Communications DPIA</w:t>
      </w:r>
    </w:p>
    <w:p>
      <w:r>
        <w:pict>
          <v:rect style="width:0;height:1.5pt" o:hralign="center" o:hrstd="t" o:hr="t"/>
        </w:pict>
      </w:r>
    </w:p>
    <w:bookmarkEnd w:id="19"/>
    <w:bookmarkEnd w:id="20"/>
    <w:bookmarkStart w:id="25" w:name="systematic-description-scytale-chat"/>
    <w:p>
      <w:pPr>
        <w:numPr>
          <w:ilvl w:val="0"/>
          <w:numId w:val="1002"/>
        </w:numPr>
        <w:pStyle w:val="Heading2"/>
      </w:pPr>
      <w:r>
        <w:t xml:space="preserve">SYSTEMATIC DESCRIPTION OF THE PROCESSING</w:t>
      </w:r>
    </w:p>
    <w:bookmarkStart w:id="24" w:name="high-level-scytale-chat"/>
    <w:p>
      <w:pPr>
        <w:numPr>
          <w:ilvl w:val="1"/>
          <w:numId w:val="1002"/>
        </w:numPr>
        <w:pStyle w:val="Heading3"/>
      </w:pPr>
      <w:r>
        <w:t xml:space="preserve">High-level Description of the Processing</w:t>
      </w:r>
    </w:p>
    <w:bookmarkStart w:id="21" w:name="processed-data-scytale-chat"/>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089"/>
        <w:gridCol w:w="2714"/>
        <w:gridCol w:w="2714"/>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Private communications payload, sealed where configured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Account/auth 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Login, session, Firebase/Cognito or private-surface auth context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Sender/recipient metadata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Conversation participants, timestamps, routing state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Audit/security logs</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and security events</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r>
    </w:tbl>
    <w:bookmarkEnd w:id="21"/>
    <w:bookmarkStart w:id="22" w:name="purposes-scytale-chat"/>
    <w:p>
      <w:pPr>
        <w:numPr>
          <w:ilvl w:val="2"/>
          <w:numId w:val="1002"/>
        </w:numPr>
        <w:pStyle w:val="Heading4"/>
      </w:pPr>
      <w:r>
        <w:t xml:space="preserve">Purposes of the Processing</w:t>
      </w:r>
    </w:p>
    <w:p>
      <w:pPr>
        <w:pStyle w:val="FirstParagraph"/>
      </w:pPr>
      <w:r>
        <w:t xml:space="preserve">Provide private communications, account access, message retrieval, security, abuse prevention, and customer support. The customer controls the communication context and legal basis.</w:t>
      </w:r>
    </w:p>
    <w:bookmarkEnd w:id="22"/>
    <w:bookmarkStart w:id="23" w:name="nature-scytale-chat"/>
    <w:p>
      <w:pPr>
        <w:numPr>
          <w:ilvl w:val="2"/>
          <w:numId w:val="1002"/>
        </w:numPr>
        <w:pStyle w:val="Heading4"/>
      </w:pPr>
      <w:r>
        <w:t xml:space="preserve">Nature, Scope and Context</w:t>
      </w:r>
    </w:p>
    <w:p>
      <w:pPr>
        <w:pStyle w:val="FirstParagraph"/>
      </w:pPr>
      <w:r>
        <w:t xml:space="preserve">Private messaging creates high metadata risk even where content is sealed. The Scytale/private surface appears to use account authentication and service APIs, so the DPIA must separately assess message confidentiality, metadata minimization, retention, access controls, and lawful disclosure handling.</w:t>
      </w:r>
    </w:p>
    <w:bookmarkEnd w:id="23"/>
    <w:bookmarkEnd w:id="24"/>
    <w:bookmarkEnd w:id="25"/>
    <w:bookmarkStart w:id="29" w:name="analysis-scytale-chat"/>
    <w:p>
      <w:pPr>
        <w:numPr>
          <w:ilvl w:val="0"/>
          <w:numId w:val="1002"/>
        </w:numPr>
        <w:pStyle w:val="Heading2"/>
      </w:pPr>
      <w:r>
        <w:t xml:space="preserve">ANALYSIS OF THE PROCESSING</w:t>
      </w:r>
    </w:p>
    <w:bookmarkStart w:id="26" w:name="lawfulness-scytale-chat"/>
    <w:p>
      <w:pPr>
        <w:numPr>
          <w:ilvl w:val="1"/>
          <w:numId w:val="1002"/>
        </w:numPr>
        <w:pStyle w:val="Heading3"/>
      </w:pPr>
      <w:r>
        <w:t xml:space="preserve">Lawfulness and Minimisation</w:t>
      </w:r>
    </w:p>
    <w:p>
      <w:pPr>
        <w:pStyle w:val="FirstParagraph"/>
      </w:pPr>
      <w:r>
        <w:t xml:space="preserve">Customer controllers must define legal basis and notice language for message content and metadata. Shyware should process message content only under instruction, minimize server-side plaintext, and avoid telemetry that captures message content, participant identifiers, or sensitive metadata.</w:t>
      </w:r>
    </w:p>
    <w:bookmarkEnd w:id="26"/>
    <w:bookmarkStart w:id="28" w:name="patent-alignment-scytale-chat"/>
    <w:p>
      <w:pPr>
        <w:numPr>
          <w:ilvl w:val="1"/>
          <w:numId w:val="1002"/>
        </w:numPr>
        <w:pStyle w:val="Heading3"/>
      </w:pPr>
      <w:r>
        <w:t xml:space="preserve">Mainhub Patent Alignment</w:t>
      </w:r>
    </w:p>
    <w:p>
      <w:pPr>
        <w:pStyle w:val="FirstParagraph"/>
      </w:pPr>
      <w:r>
        <w:t xml:space="preserve">The Mainhub patent architecture is useful only where a chat deployment uses canonical two-list records for a specific attestable event or state. It does not make message content, sender/recipient metadata, account sessions, retention stores, lawful-access workflows, or endpoint notifications anonymous. Communications DPIA review must therefore focus on content confidentiality, metadata minimization, retention/export, and legal-hold requirements separately from canonical-state linkage.</w:t>
      </w:r>
    </w:p>
    <w:bookmarkStart w:id="27" w:name="authority-partition-scytale-chat"/>
    <w:p>
      <w:pPr>
        <w:numPr>
          <w:ilvl w:val="2"/>
          <w:numId w:val="1002"/>
        </w:numPr>
        <w:pStyle w:val="Heading4"/>
      </w:pPr>
      <w:r>
        <w:t xml:space="preserve">Authority Partition</w:t>
      </w:r>
    </w:p>
    <w:p>
      <w:pPr>
        <w:pStyle w:val="FirstParagraph"/>
      </w:pPr>
      <w:r>
        <w:t xml:space="preserve">This is a sealer-governed embodiment (multi-account, no unique-person count-match). Three parties: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557"/>
        <w:gridCol w:w="4118"/>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authentication gate for erasure requests — does NOT hold a co-signature key;</w:t>
            </w:r>
            <w:r>
              <w:t xml:space="preserve"> </w:t>
            </w:r>
            <w:r>
              <w:rPr>
                <w:rStyle w:val="VerbatimChar"/>
              </w:rPr>
              <w:t xml:space="preserve">TxTypeAuthorityRescind</w:t>
            </w:r>
            <w:r>
              <w:t xml:space="preserve"> </w:t>
            </w:r>
            <w:r>
              <w:t xml:space="preserve">is structurally unavailable in sealer-governed deployments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No canonical delete-only key; erasure = sealer key deletion by reconciling authority on authenticated (Cognito-gated) request; canonical L1/L2 records are BFT-immutable and persist; payload becomes permanently undecryptable</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account belongs to a real, verified person; assessed on authenticated users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key is never registered at scoping-identifier creation; the rescission pathway is therefore unavailable by construction at the state-machine validation layer</w:t>
            </w:r>
          </w:p>
        </w:tc>
      </w:tr>
    </w:tbl>
    <w:p>
      <w:pPr>
        <w:pStyle w:val="BodyText"/>
      </w:pPr>
      <w:r>
        <w:t xml:space="preserve">Because this is a sealer-governed deployment, no eligibility authority key is registered and the rescission mechanism is structurally unavailable. The dual co-authorization constraint does not apply. The worst-case unilateral threat is payload disclosure via the sealer (reconciling authority), not count manipulation.</w:t>
      </w:r>
    </w:p>
    <w:bookmarkEnd w:id="27"/>
    <w:bookmarkEnd w:id="28"/>
    <w:bookmarkEnd w:id="29"/>
    <w:bookmarkStart w:id="30" w:name="necessity-scytale-chat"/>
    <w:p>
      <w:pPr>
        <w:numPr>
          <w:ilvl w:val="0"/>
          <w:numId w:val="1002"/>
        </w:numPr>
        <w:pStyle w:val="Heading2"/>
      </w:pPr>
      <w:r>
        <w:t xml:space="preserve">CONSIDERATIONS ON NECESSITY AND PROPORTIONALITY</w:t>
      </w:r>
    </w:p>
    <w:p>
      <w:pPr>
        <w:pStyle w:val="FirstParagraph"/>
      </w:pPr>
      <w:r>
        <w:t xml:space="preserve">The private chat pattern may be proportionate where message confidentiality, account recovery, moderation, abuse reporting, or auditability is necessary for the customer service. It is not proportionate to retain message content, recipient metadata, or legal-hold artifacts beyond the stated purpose. Production should wait until retention/export, endpoint notification, lawful-access, account recovery, and abuse-reporting policies are fixed.</w:t>
      </w:r>
    </w:p>
    <w:bookmarkEnd w:id="30"/>
    <w:bookmarkStart w:id="34" w:name="risk-scytale-chat"/>
    <w:p>
      <w:pPr>
        <w:numPr>
          <w:ilvl w:val="0"/>
          <w:numId w:val="1002"/>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463"/>
        <w:gridCol w:w="5054"/>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 exposure</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sealing/E2E posture, key custody, and plaintext boundaries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Communications metadata profiling</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retention, access controls, and minimization for sender/recipient/timestamp data</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takeover</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Review authentication, session management, and recovery flows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Lawful access overreach</w:t>
            </w:r>
          </w:p>
        </w:tc>
        <w:tc>
          <w:tcPr>
            <w:tcW w:type="pct" w:w="27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request review, logging, and customer instruction process</w:t>
            </w:r>
          </w:p>
        </w:tc>
      </w:tr>
    </w:tbl>
    <w:bookmarkStart w:id="32" w:name="dpia-audit-scytale-chat"/>
    <w:p>
      <w:pPr>
        <w:numPr>
          <w:ilvl w:val="1"/>
          <w:numId w:val="1002"/>
        </w:numPr>
        <w:pStyle w:val="Heading3"/>
      </w:pPr>
      <w:r>
        <w:t xml:space="preserve">DPIA Audit Findings</w:t>
      </w:r>
    </w:p>
    <w:p>
      <w:pPr>
        <w:pStyle w:val="FirstParagraph"/>
      </w:pPr>
      <w:r>
        <w:t xml:space="preserve">This DPIA is the audit record for private chat and Scytale communications deployments. Before production, the DPIA must identify the provider partition across account/auth provider, message transport, protected linkage store, reconciling authority, canonical commit authority where used, and telemetry/support providers. Canonical-state unlinkability does not reduce risks from message content, sender/recipient metadata, notifications, endpoint compromise, legal hold, abuse reporting, or account recovery. The software evidence for the core kernel may be complete while retention/export, moderation, lawful-access, metadata minimization, and endpoint controls still need to be fixed for this domain.</w:t>
      </w:r>
    </w:p>
    <w:bookmarkStart w:id="31" w:name="compliance-instructions-scytale-chat"/>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scytale-chat"/>
    <w:p>
      <w:pPr>
        <w:numPr>
          <w:ilvl w:val="1"/>
          <w:numId w:val="1002"/>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message content, metadata, endpoint notification, legal hold, lawful-access, or account-recovery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3370"/>
        <w:gridCol w:w="749"/>
        <w:gridCol w:w="749"/>
        <w:gridCol w:w="749"/>
        <w:gridCol w:w="1217"/>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 exposure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End-to-end or payload sealing, retention limits, and access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message confidentiality posture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Sender/recipient metadata linkage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Metadata minimization, provider partitioning, and retention limits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metadata model</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or notification leakage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Local controls, notification minimization, and support-export restrictions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endpoint controls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Lawful access or legal hold overreach</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Legal process policy, audit logs, and dual-control reveal</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lawful-access workflow</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auth, transport,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scytale-chat"/>
    <w:p>
      <w:pPr>
        <w:numPr>
          <w:ilvl w:val="0"/>
          <w:numId w:val="1002"/>
        </w:numPr>
        <w:pStyle w:val="Heading2"/>
      </w:pPr>
      <w:r>
        <w:t xml:space="preserve">INVOLVEMENT OF INTERESTED PARTIES</w:t>
      </w:r>
    </w:p>
    <w:p>
      <w:pPr>
        <w:pStyle w:val="FirstParagraph"/>
      </w:pPr>
      <w:r>
        <w:t xml:space="preserve">Privacy counsel, security, abuse/moderation stakeholders, support, and customer DPO teams should review this DPIA before production. Data subject consultation may be appropriate where communications involve children, employees, sensitive communities, or high-risk lawful-access contexts.</w:t>
      </w:r>
    </w:p>
    <w:bookmarkEnd w:id="35"/>
    <w:bookmarkStart w:id="36" w:name="conclusion-scytale-chat"/>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production communications launch. Expand after authentication, sealing, metadata retention, and lawful-access posture are fixed.</w:t>
      </w:r>
    </w:p>
    <w:bookmarkEnd w:id="36"/>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2026-05-24T18:51:50Z</dcterms:created>
  <dcterms:modified xsi:type="dcterms:W3CDTF">2026-05-24T18:51:50Z</dcterms:modified>
</cp:coreProperties>
</file>

<file path=docProps/custom.xml><?xml version="1.0" encoding="utf-8"?>
<Properties xmlns="http://schemas.openxmlformats.org/officeDocument/2006/custom-properties" xmlns:vt="http://schemas.openxmlformats.org/officeDocument/2006/docPropsVTypes"/>
</file>