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Private Video Streaming (shystream-v1)</w:t>
      </w:r>
    </w:p>
    <w:p>
      <w:r>
        <w:pict>
          <v:rect style="width:0;height:1.5pt" o:hralign="center" o:hrstd="t" o:hr="t"/>
        </w:pict>
      </w:r>
    </w:p>
    <w:bookmarkStart w:id="22" w:name="overview-private-streaming"/>
    <w:p>
      <w:pPr>
        <w:pStyle w:val="Heading2"/>
      </w:pPr>
      <w:r>
        <w:t xml:space="preserve">OVERVIEW OF THE PROCESSING</w:t>
      </w:r>
    </w:p>
    <w:bookmarkStart w:id="18" w:name="controllers-private-streaming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operating a private video streaming platform using shystream-v1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Legal / Compliance; 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</w:t>
            </w:r>
          </w:p>
        </w:tc>
      </w:tr>
    </w:tbl>
    <w:bookmarkEnd w:id="18"/>
    <w:bookmarkStart w:id="19" w:name="processors-private-streaming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650"/>
        <w:gridCol w:w="4961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SDK, shystream client, and optional hosted API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canonical node, API, and database; processes personal data under Art. 28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identity verification for identity-gated stream access and recovery workflows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and origin serving for sealed video segments; receives sealed segment requests but not viewer identity</w:t>
            </w:r>
          </w:p>
        </w:tc>
      </w:tr>
    </w:tbl>
    <w:bookmarkEnd w:id="19"/>
    <w:bookmarkStart w:id="20" w:name="name-private-streaming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Private Video Streaming / shystream-v1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Consumers/MUX_COM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shyware/sdk/web/clients/utilities/streamClient.js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private-streaming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High-risk processing: viewer identity and viewing behavior are both sensitive; correlation of viewer identity to content preferences constitutes profiling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 using shystream-v1 sealed segment events; viewer identity excluded from canonical clip-view records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 before production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systematic-description-private-streaming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6" w:name="high-level-private-streaming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private-streaming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95"/>
        <w:gridCol w:w="3838"/>
        <w:gridCol w:w="1966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Stream event identifier (List 1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opaque identifier; no viewer identity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segment payload (List 1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sealed clip metadata; content inaccessible without sealer key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 of verified viewer identity; no clip identifier or direction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view count per scoping period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Integer count of List 1 and List 2 entries; no individual linkage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 Merkle roots over disjoint List 1 and List 2 sets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Per-viewer stream history; accessible only via identity-gated reconciling interface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state architecture:</w:t>
      </w:r>
      <w:r>
        <w:t xml:space="preserve"> </w:t>
      </w:r>
      <w:r>
        <w:t xml:space="preserve">Items 1–5 are canonical ledger records. No record in canonical state associates any List 1 stream event with any List 2 viewer identity hash. The rejection predicate refuses any state transition that would create such an association. Viewer identity is structurally absent from canonical clip-view records — not by policy, by write architecture.</w:t>
      </w:r>
    </w:p>
    <w:bookmarkEnd w:id="23"/>
    <w:bookmarkStart w:id="24" w:name="purposes-private-streaming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95"/>
        <w:gridCol w:w="1872"/>
        <w:gridCol w:w="3931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 — aggregate view tracking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Items 1, 2, 4, 5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interests; identity not linkable to view in canonical state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— sybil and access control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6(1)(b) / (f) service integrity; one canonical record per verified viewer per scoping period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 — compliance audit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/ (c) aggregate only; no individual linkage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Viewer-authenticated stream history retrieval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6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6(1)(b) contract performance; viewer-initiated only</w:t>
            </w:r>
          </w:p>
        </w:tc>
      </w:tr>
    </w:tbl>
    <w:bookmarkEnd w:id="24"/>
    <w:bookmarkStart w:id="25" w:name="authority-partition-private-streaming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sealer-governed embodiment (no unique-person count-match). Three parties: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902"/>
        <w:gridCol w:w="4586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 / Firebase)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authentication gate for all API calls including erasure requests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Does NOT hold a co-signature key;</w:t>
            </w:r>
            <w:r>
              <w:t xml:space="preserve"> </w:t>
            </w:r>
            <w:r>
              <w:rPr>
                <w:rStyle w:val="VerbatimChar"/>
              </w:rPr>
              <w:t xml:space="preserve">TxTypeAuthorityRescind</w:t>
            </w:r>
            <w:r>
              <w:t xml:space="preserve"> </w:t>
            </w:r>
            <w:r>
              <w:t xml:space="preserve">is structurally unavailable in sealer-governed deployments; erasure = sealer key deletion by reconciling authority on authenticated request; canonical L1/L2 records are BFT-immutable and persist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account belongs to a real, verified viewer; assessed on authenticated users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eligibility authority key registered; rescission pathway unavailable by construction; worst-case unilateral threat is payload disclosure via sealer key</w:t>
            </w:r>
          </w:p>
        </w:tc>
      </w:tr>
    </w:tbl>
    <w:bookmarkEnd w:id="25"/>
    <w:bookmarkEnd w:id="26"/>
    <w:bookmarkEnd w:id="27"/>
    <w:bookmarkStart w:id="30" w:name="analysis-private-streaming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28" w:name="lawfulness-private-streaming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must define the lawful basis per deployment. The primary basis for aggregate view-event processing is Art. 6(1)(f) legitimate interests, supported by the structural non-linkability of viewer identity to clip-view direction in canonical state. Where personalized streaming history or viewer profiling occurs through the off-chain reconciling store, the legal basis for that secondary processing must be separately assessed.</w:t>
      </w:r>
    </w:p>
    <w:bookmarkEnd w:id="28"/>
    <w:bookmarkStart w:id="29" w:name="minimisation-private-streaming"/>
    <w:p>
      <w:pPr>
        <w:numPr>
          <w:ilvl w:val="1"/>
          <w:numId w:val="1002"/>
        </w:numPr>
        <w:pStyle w:val="Heading3"/>
      </w:pPr>
      <w:r>
        <w:t xml:space="preserve">Data Minimisation and Retention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3931"/>
        <w:gridCol w:w="2808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segment payload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metadata necessary for entitlement verification; minimize content fingerprinting data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prohibited fields and payload schema gates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to product and scoping period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no cross-product reusable identifier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Disable unless viewer history retrieval is required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retention, access policy, and dual-control review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CDN logs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Exclude viewer identity from CDN request logs where possible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CDN provider DPA and log-minimization configuration</w:t>
            </w:r>
          </w:p>
        </w:tc>
      </w:tr>
    </w:tbl>
    <w:bookmarkEnd w:id="29"/>
    <w:bookmarkEnd w:id="30"/>
    <w:bookmarkStart w:id="34" w:name="risk-private-streaming"/>
    <w:p>
      <w:pPr>
        <w:numPr>
          <w:ilvl w:val="0"/>
          <w:numId w:val="1002"/>
        </w:numPr>
        <w:pStyle w:val="Heading2"/>
      </w:pPr>
      <w:r>
        <w:t xml:space="preserve">RISK ASSESSMENT</w:t>
      </w:r>
    </w:p>
    <w:bookmarkStart w:id="31" w:name="threats-private-streaming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527"/>
        <w:gridCol w:w="4212"/>
        <w:gridCol w:w="1966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Viewer-content correlation via CDN logs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provider retains per-request logs linking IP to content segment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disclosure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 discloses or loses sealer keys; sealed payloads become accessible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Cross-scoping-period viewer linkage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reused across scoping periods enabling long-term viewing pattern reconstruction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segment fingerprinting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 party correlates content segments to viewer via traffic analysis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Canonical/off-chain/CDN stores diverge on erasure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1"/>
    <w:bookmarkStart w:id="32" w:name="residual-risk-private-streaming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53"/>
        <w:gridCol w:w="3744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log correlation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DPA with log minimization; sealed segment requests without viewer identity in CDN layer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CDN DPA and log configuration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disclosure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sealer access; audit logs; WORM backup on separate provider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dual-control implemented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Cross-period linkage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identity hashes per product, scoping period, and viewer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derivation evidence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Segment fingerprinting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Segment obfuscation; avoid predictable segment naming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obfuscation implemented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evidence: canonical, off-chain, CDN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deletion evidence attachment</w:t>
            </w:r>
          </w:p>
        </w:tc>
      </w:tr>
    </w:tbl>
    <w:bookmarkEnd w:id="32"/>
    <w:bookmarkStart w:id="33" w:name="Xa40fbff4f21db8c39253db3c218017975756e93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 Aggregate view-event processing: Art. 6(1)(f). Personalized history: assess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cloud infrastructure, IDV provider, and video CDN provider before processing personal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CDN log minimization</w:t>
      </w:r>
      <w:r>
        <w:t xml:space="preserve"> </w:t>
      </w:r>
      <w:r>
        <w:t xml:space="preserve">— Configure the video CDN provider to minimize retention of per-request logs that could link viewer identity to content segments.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enforce deletion cron for sealed segment records and off-chain linkage.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17 erasure path</w:t>
      </w:r>
      <w:r>
        <w:t xml:space="preserve"> </w:t>
      </w:r>
      <w:r>
        <w:t xml:space="preserve">— Erasure = sealer key deletion by reconciling authority on authenticated viewer request; canonical L1/L2 records persist (BFT-immutable); payload becomes permanently undecryptable. Ensure CDN-layer segment references are also purged.</w:t>
      </w:r>
    </w:p>
    <w:bookmarkEnd w:id="33"/>
    <w:bookmarkEnd w:id="34"/>
    <w:bookmarkStart w:id="35" w:name="conclusion-private-streaming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Conditional approval. The shystream-v1 canonical state architecture achieves structural non-linkability between viewer identity and clip-view events. The residual risks lie in CDN log correlation, sealer key governance, and erasure completeness across the CDN layer. Production deployment requires: CDN DPA with log minimization, dual-control sealer key access, scoping-period-scoped identity hashes, and end-to-end deletion evidence covering canonical, off-chain, and CDN stores.</w:t>
      </w:r>
    </w:p>
    <w:bookmarkEnd w:id="3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2026-05-24T18:51:50Z</dcterms:created>
  <dcterms:modified xsi:type="dcterms:W3CDTF">2026-05-24T18:51:50Z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