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Lots and Real Estate Allocation</w:t>
      </w:r>
    </w:p>
    <w:p>
      <w:r>
        <w:pict>
          <v:rect style="width:0;height:1.5pt" o:hralign="center" o:hrstd="t" o:hr="t"/>
        </w:pict>
      </w:r>
    </w:p>
    <w:bookmarkStart w:id="20" w:name="overview-lots-real-estate"/>
    <w:p>
      <w:pPr>
        <w:pStyle w:val="Heading2"/>
      </w:pPr>
      <w:r>
        <w:t xml:space="preserve">OVERVIEW OF THE PROCESSING</w:t>
      </w:r>
    </w:p>
    <w:bookmarkStart w:id="18" w:name="controllers-lots-real-estate"/>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lots, housing, real-estate allocation, or property-interest deployment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Repository evidence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Consumers/YARD_CASA</w:t>
            </w:r>
            <w:r>
              <w:t xml:space="preserve">;</w:t>
            </w:r>
            <w:r>
              <w:t xml:space="preserve"> </w:t>
            </w:r>
            <w:r>
              <w:rPr>
                <w:rStyle w:val="VerbatimChar"/>
              </w:rPr>
              <w:t xml:space="preserve">lotsClient.js</w:t>
            </w:r>
            <w:r>
              <w:t xml:space="preserve">;</w:t>
            </w:r>
            <w:r>
              <w:t xml:space="preserve"> </w:t>
            </w:r>
            <w:r>
              <w:rPr>
                <w:rStyle w:val="VerbatimChar"/>
              </w:rPr>
              <w:t xml:space="preserve">patent/mainhub/dpia/evidence_index.md</w:t>
            </w:r>
          </w:p>
        </w:tc>
      </w:tr>
    </w:tbl>
    <w:bookmarkEnd w:id="18"/>
    <w:bookmarkStart w:id="19" w:name="name-lots-real-estate"/>
    <w:p>
      <w:pPr>
        <w:pStyle w:val="Heading3"/>
      </w:pPr>
      <w:r>
        <w:t xml:space="preserve">Name of the Processing</w:t>
      </w:r>
    </w:p>
    <w:p>
      <w:pPr>
        <w:pStyle w:val="FirstParagraph"/>
      </w:pPr>
      <w:r>
        <w:rPr>
          <w:b/>
          <w:bCs/>
        </w:rPr>
        <w:t xml:space="preserve">Internal name:</w:t>
      </w:r>
      <w:r>
        <w:t xml:space="preserve"> </w:t>
      </w:r>
      <w:r>
        <w:t xml:space="preserve">Shyware Lots / Real Estate Allocation DPIA</w:t>
      </w:r>
    </w:p>
    <w:p>
      <w:r>
        <w:pict>
          <v:rect style="width:0;height:1.5pt" o:hralign="center" o:hrstd="t" o:hr="t"/>
        </w:pict>
      </w:r>
    </w:p>
    <w:bookmarkEnd w:id="19"/>
    <w:bookmarkEnd w:id="20"/>
    <w:bookmarkStart w:id="24" w:name="systematic-description-lots-real-estate"/>
    <w:p>
      <w:pPr>
        <w:numPr>
          <w:ilvl w:val="0"/>
          <w:numId w:val="1002"/>
        </w:numPr>
        <w:pStyle w:val="Heading2"/>
      </w:pPr>
      <w:r>
        <w:t xml:space="preserve">SYSTEMATIC DESCRIPTION OF THE PROCESSING</w:t>
      </w:r>
    </w:p>
    <w:bookmarkStart w:id="23" w:name="high-level-lots-real-estate"/>
    <w:p>
      <w:pPr>
        <w:numPr>
          <w:ilvl w:val="1"/>
          <w:numId w:val="1002"/>
        </w:numPr>
        <w:pStyle w:val="Heading3"/>
      </w:pPr>
      <w:r>
        <w:t xml:space="preserve">High-level Description of the Processing</w:t>
      </w:r>
    </w:p>
    <w:bookmarkStart w:id="21" w:name="processed-data-lots-real-estate"/>
    <w:p>
      <w:pPr>
        <w:numPr>
          <w:ilvl w:val="2"/>
          <w:numId w:val="1002"/>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276"/>
        <w:gridCol w:w="2340"/>
        <w:gridCol w:w="2995"/>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Applicant/account commitment</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Buyer, renter, applicant, or property participant commitment</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Eligibility/allocation data</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Lottery, bid, queue, preference, or qualification record</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High where housing/property access is affected</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Property-interest record</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Parcel, lot, unit, contract, redemption, or allocation metadata</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Financial/property high-risk</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Identity/KYC data</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Applicant or participant verification</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bl>
    <w:bookmarkEnd w:id="21"/>
    <w:bookmarkStart w:id="22" w:name="purposes-lots-real-estate"/>
    <w:p>
      <w:pPr>
        <w:numPr>
          <w:ilvl w:val="2"/>
          <w:numId w:val="1002"/>
        </w:numPr>
        <w:pStyle w:val="Heading4"/>
      </w:pPr>
      <w:r>
        <w:t xml:space="preserve">Purposes of the Processing</w:t>
      </w:r>
    </w:p>
    <w:p>
      <w:pPr>
        <w:pStyle w:val="FirstParagraph"/>
      </w:pPr>
      <w:r>
        <w:t xml:space="preserve">Support property allocation, applicant eligibility, auditability, fraud prevention, and dispute handling.</w:t>
      </w:r>
    </w:p>
    <w:bookmarkEnd w:id="22"/>
    <w:bookmarkEnd w:id="23"/>
    <w:bookmarkEnd w:id="24"/>
    <w:bookmarkStart w:id="29" w:name="analysis-lots-real-estate"/>
    <w:p>
      <w:pPr>
        <w:numPr>
          <w:ilvl w:val="0"/>
          <w:numId w:val="1002"/>
        </w:numPr>
        <w:pStyle w:val="Heading2"/>
      </w:pPr>
      <w:r>
        <w:t xml:space="preserve">ANALYSIS OF THE PROCESSING</w:t>
      </w:r>
    </w:p>
    <w:bookmarkStart w:id="25" w:name="lawfulness-lots-real-estate"/>
    <w:p>
      <w:pPr>
        <w:numPr>
          <w:ilvl w:val="1"/>
          <w:numId w:val="1002"/>
        </w:numPr>
        <w:pStyle w:val="Heading3"/>
      </w:pPr>
      <w:r>
        <w:t xml:space="preserve">Lawfulness and Minimisation</w:t>
      </w:r>
    </w:p>
    <w:p>
      <w:pPr>
        <w:pStyle w:val="FirstParagraph"/>
      </w:pPr>
      <w:r>
        <w:t xml:space="preserve">Customer controllers must assess housing, fair-lending/fair-housing, consumer-protection, and property-law duties. Eligibility criteria and allocation outcomes can materially affect individuals and should be explainable and contestable.</w:t>
      </w:r>
    </w:p>
    <w:bookmarkEnd w:id="25"/>
    <w:bookmarkStart w:id="28" w:name="patent-alignment-lots-real-estate"/>
    <w:p>
      <w:pPr>
        <w:numPr>
          <w:ilvl w:val="1"/>
          <w:numId w:val="1002"/>
        </w:numPr>
        <w:pStyle w:val="Heading3"/>
      </w:pPr>
      <w:r>
        <w:t xml:space="preserve">Mainhub Patent Alignment</w:t>
      </w:r>
    </w:p>
    <w:p>
      <w:pPr>
        <w:pStyle w:val="FirstParagraph"/>
      </w:pPr>
      <w:r>
        <w:t xml:space="preserve">The Mainhub patent architecture can reduce canonical-state linkage between applicant commitments and allocation records. It does not address whether eligibility criteria are fair, whether allocation logic creates discrimination, whether pricing/allocation coordination creates antitrust risk, or whether applicants receive adequate explanation and appeal. Those remain controller and domain DPIA issues.</w:t>
      </w:r>
    </w:p>
    <w:bookmarkStart w:id="26" w:name="post-close-anonymity-lots"/>
    <w:p>
      <w:pPr>
        <w:numPr>
          <w:ilvl w:val="2"/>
          <w:numId w:val="1002"/>
        </w:numPr>
        <w:pStyle w:val="Heading4"/>
      </w:pPr>
      <w:r>
        <w:t xml:space="preserve">Post-Close Buyer Anonymity — Batch-Queue Settlement</w:t>
      </w:r>
    </w:p>
    <w:p>
      <w:pPr>
        <w:pStyle w:val="FirstParagraph"/>
      </w:pPr>
      <w:r>
        <w:t xml:space="preserve">A naïve sealed-bid auction with</w:t>
      </w:r>
      <w:r>
        <w:t xml:space="preserve"> </w:t>
      </w:r>
      <w:r>
        <w:rPr>
          <w:rStyle w:val="VerbatimChar"/>
        </w:rPr>
        <w:t xml:space="preserve">bid_visibility: sealed_until_close</w:t>
      </w:r>
      <w:r>
        <w:t xml:space="preserve"> </w:t>
      </w:r>
      <w:r>
        <w:t xml:space="preserve">protects bid-to-bidder linkage only until period close. At settlement, the winning bidder’s identity commitment appears as the</w:t>
      </w:r>
      <w:r>
        <w:t xml:space="preserve"> </w:t>
      </w:r>
      <w:r>
        <w:rPr>
          <w:rStyle w:val="VerbatimChar"/>
        </w:rPr>
        <w:t xml:space="preserve">recipientCommitment</w:t>
      </w:r>
      <w:r>
        <w:t xml:space="preserve"> </w:t>
      </w:r>
      <w:r>
        <w:t xml:space="preserve">of a shywire transfer. Even if no canonical join key exists, an observer who sees exactly one settlement fire immediately after lot X closes can infer the buyer by timing — regardless of whether the record contents are readable.</w:t>
      </w:r>
    </w:p>
    <w:p>
      <w:pPr>
        <w:pStyle w:val="BodyText"/>
      </w:pPr>
      <w:r>
        <w:t xml:space="preserve">Sealing the settlement records (payload or identity attribute) addresses content visibility, which is already a structural property of the two-list invariant. It does not address timing correlation: a sealed blob that fires 1:1 with a lot close is still a timing oracle. The correct fix is the same pattern used in</w:t>
      </w:r>
      <w:r>
        <w:t xml:space="preserve"> </w:t>
      </w:r>
      <w:r>
        <w:rPr>
          <w:rStyle w:val="VerbatimChar"/>
        </w:rPr>
        <w:t xml:space="preserve">shychat-v1</w:t>
      </w:r>
      <w:r>
        <w:t xml:space="preserve">:</w:t>
      </w:r>
      <w:r>
        <w:t xml:space="preserve"> </w:t>
      </w:r>
      <w:r>
        <w:rPr>
          <w:rStyle w:val="VerbatimChar"/>
        </w:rPr>
        <w:t xml:space="preserve">delivery_model: dispatch_queue</w:t>
      </w:r>
      <w:r>
        <w:t xml:space="preserve"> </w:t>
      </w:r>
      <w:r>
        <w:t xml:space="preserve">queues messages and batch-flushes them, so multiple messages commit in the same block and per-message timing correlation is broken. Applying the same logic to lot settlements:</w:t>
      </w:r>
      <w:r>
        <w:t xml:space="preserve"> </w:t>
      </w:r>
      <w:r>
        <w:rPr>
          <w:rStyle w:val="VerbatimChar"/>
        </w:rPr>
        <w:t xml:space="preserve">settlement_dispatch: batch_queue</w:t>
      </w:r>
      <w:r>
        <w:t xml:space="preserve"> </w:t>
      </w:r>
      <w:r>
        <w:t xml:space="preserve">queues settlement transfers and flushes them in batches, so multiple lot settlements commit in the same block window. An observer who sees lot X close cannot isolate which of the</w:t>
      </w:r>
      <w:r>
        <w:t xml:space="preserve"> </w:t>
      </w:r>
      <m:oMath>
        <m:r>
          <m:t>k</m:t>
        </m:r>
      </m:oMath>
      <w:r>
        <w:t xml:space="preserve"> </w:t>
      </w:r>
      <w:r>
        <w:t xml:space="preserve">settlements in the next batch corresponds to lot X.</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931"/>
        <w:gridCol w:w="5429"/>
      </w:tblGrid>
      <w:tr>
        <w:trPr>
          <w:tblHeader w:val="on"/>
        </w:trPr>
        <w:tc>
          <w:tcPr>
            <w:tcW w:type="pct" w:w="2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Configuration</w:t>
            </w:r>
          </w:p>
        </w:tc>
        <w:tc>
          <w:tcPr>
            <w:tcW w:type="pct" w:w="2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Effect</w:t>
            </w:r>
          </w:p>
        </w:tc>
      </w:tr>
      <w:tr>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bid_visibility: sealed_until_award</w:t>
            </w:r>
          </w:p>
        </w:tc>
        <w:tc>
          <w:tcPr>
            <w:tcW w:type="pct" w:w="2900"/>
            <w:tcBorders>
              <w:top w:val="single" w:sz="8" w:space="0" w:color="000000"/>
              <w:left w:val="single" w:sz="8" w:space="0" w:color="000000"/>
              <w:bottom w:val="single" w:sz="8" w:space="0" w:color="000000"/>
              <w:right w:val="single" w:sz="8" w:space="0" w:color="000000"/>
            </w:tcBorders>
          </w:tcPr>
          <w:p>
            <w:pPr>
              <w:pStyle w:val="Compact"/>
              <w:jc w:val="left"/>
            </w:pPr>
            <w:r>
              <w:t xml:space="preserve">Bids remain sealed until award is committed, not merely until close</w:t>
            </w:r>
          </w:p>
        </w:tc>
      </w:tr>
      <w:tr>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settlement_dispatch: batch_queue</w:t>
            </w:r>
          </w:p>
        </w:tc>
        <w:tc>
          <w:tcPr>
            <w:tcW w:type="pct" w:w="2900"/>
            <w:tcBorders>
              <w:top w:val="single" w:sz="8" w:space="0" w:color="000000"/>
              <w:left w:val="single" w:sz="8" w:space="0" w:color="000000"/>
              <w:bottom w:val="single" w:sz="8" w:space="0" w:color="000000"/>
              <w:right w:val="single" w:sz="8" w:space="0" w:color="000000"/>
            </w:tcBorders>
          </w:tcPr>
          <w:p>
            <w:pPr>
              <w:pStyle w:val="Compact"/>
              <w:jc w:val="left"/>
            </w:pPr>
            <w:r>
              <w:t xml:space="preserve">Settlement transfers queued and batch-flushed;</w:t>
            </w:r>
            <w:r>
              <w:t xml:space="preserve"> </w:t>
            </w:r>
            <m:oMath>
              <m:r>
                <m:t>k</m:t>
              </m:r>
              <m:r>
                <m:rPr>
                  <m:sty m:val="p"/>
                </m:rPr>
                <m:t>&gt;</m:t>
              </m:r>
              <m:r>
                <m:t>1</m:t>
              </m:r>
            </m:oMath>
            <w:r>
              <w:t xml:space="preserve"> </w:t>
            </w:r>
            <w:r>
              <w:t xml:space="preserve">settlements per block window; timing oracle broken</w:t>
            </w:r>
          </w:p>
        </w:tc>
      </w:tr>
      <w:tr>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bidder_identity_mode: anonymous_commitment</w:t>
            </w:r>
          </w:p>
        </w:tc>
        <w:tc>
          <w:tcPr>
            <w:tcW w:type="pct" w:w="29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never appears as a raw identifier in canonical state; commitment only</w:t>
            </w:r>
          </w:p>
        </w:tc>
      </w:tr>
    </w:tbl>
    <w:p>
      <w:pPr>
        <w:pStyle w:val="BodyText"/>
      </w:pPr>
      <w:r>
        <w:rPr>
          <w:b/>
          <w:bCs/>
        </w:rPr>
        <w:t xml:space="preserve">Batch size as a privacy parameter.</w:t>
      </w:r>
      <w:r>
        <w:t xml:space="preserve"> </w:t>
      </w:r>
      <w:r>
        <w:t xml:space="preserve">Larger batches increase anonymity (higher</w:t>
      </w:r>
      <w:r>
        <w:t xml:space="preserve"> </w:t>
      </w:r>
      <m:oMath>
        <m:r>
          <m:t>k</m:t>
        </m:r>
      </m:oMath>
      <w:r>
        <w:t xml:space="preserve">) at the cost of settlement latency. The operator configures the flush interval or minimum batch count; smaller auctions with low transaction volume should enforce a minimum batch size of</w:t>
      </w:r>
      <w:r>
        <w:t xml:space="preserve"> </w:t>
      </w:r>
      <m:oMath>
        <m:r>
          <m:t>k</m:t>
        </m:r>
        <m:r>
          <m:rPr>
            <m:sty m:val="p"/>
          </m:rPr>
          <m:t>≥</m:t>
        </m:r>
        <m:r>
          <m:t>3</m:t>
        </m:r>
      </m:oMath>
      <w:r>
        <w:t xml:space="preserve"> </w:t>
      </w:r>
      <w:r>
        <w:t xml:space="preserve">to prevent degenerate single-settlement batches. This is the same design tradeoff as the dispatch-queue pattern in shychat-v1.</w:t>
      </w:r>
    </w:p>
    <w:bookmarkEnd w:id="26"/>
    <w:bookmarkStart w:id="27" w:name="authority-partition-lots-real-estate"/>
    <w:p>
      <w:pPr>
        <w:numPr>
          <w:ilvl w:val="2"/>
          <w:numId w:val="1002"/>
        </w:numPr>
        <w:pStyle w:val="Heading4"/>
      </w:pPr>
      <w:r>
        <w:t xml:space="preserve">Authority Partition</w:t>
      </w:r>
    </w:p>
    <w:p>
      <w:pPr>
        <w:pStyle w:val="FirstParagraph"/>
      </w:pPr>
      <w:r>
        <w:t xml:space="preserve">This is a count-match embodiment. Four structurally separated parties are required: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778"/>
        <w:gridCol w:w="3276"/>
        <w:gridCol w:w="4306"/>
      </w:tblGrid>
      <w:tr>
        <w:trPr>
          <w:tblHeader w:val="on"/>
        </w:trPr>
        <w:tc>
          <w:tcPr>
            <w:tcW w:type="pct" w:w="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gates access to IDV/KYC stage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write canonical records; no linkage data</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IDV/KYC (Didit)</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user identity on authenticated users</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Lot administrator</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Determines domain eligibility; registered independently at scoping-identifier creation</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Delete-only on canonical state; requires reconciling co-signature to execute rescission; every rescission is append-only in canonical state and never deletable</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eligibility co-signature for any rescission; cannot forge identity</w:t>
            </w:r>
          </w:p>
        </w:tc>
      </w:tr>
    </w:tbl>
    <w:p>
      <w:pPr>
        <w:pStyle w:val="BodyText"/>
      </w:pPr>
      <w:r>
        <w:rPr>
          <w:b/>
          <w:bCs/>
        </w:rPr>
        <w:t xml:space="preserve">Dual co-authorization enforcement (Claim 2):</w:t>
      </w:r>
      <w:r>
        <w:t xml:space="preserve"> </w:t>
      </w:r>
      <w:r>
        <w:t xml:space="preserve">The validation layer must reject single-signature rescission transactions.</w:t>
      </w:r>
      <w:r>
        <w:t xml:space="preserve"> </w:t>
      </w:r>
      <w:r>
        <w:rPr>
          <w:b/>
          <w:bCs/>
          <w:i/>
          <w:iCs/>
        </w:rPr>
        <w:t xml:space="preserve">VERIFIED (run 26369476939):</w:t>
      </w:r>
      <w:r>
        <w:rPr>
          <w:i/>
          <w:iCs/>
        </w:rPr>
        <w:t xml:space="preserve"> </w:t>
      </w:r>
      <w:r>
        <w:rPr>
          <w:i/>
          <w:iCs/>
        </w:rPr>
        <w:t xml:space="preserve">DUAL_COSIG section passes 379/379 — unauthenticated + valid token</w:t>
      </w:r>
      <w:r>
        <w:rPr>
          <w:i/>
          <w:iCs/>
        </w:rPr>
        <w:t xml:space="preserve"> </w:t>
      </w:r>
      <m:oMath>
        <m:r>
          <m:rPr>
            <m:sty m:val="p"/>
          </m:rPr>
          <m:t>→</m:t>
        </m:r>
      </m:oMath>
      <w:r>
        <w:rPr>
          <w:i/>
          <w:iCs/>
        </w:rPr>
        <w:t xml:space="preserve"> </w:t>
      </w:r>
      <w:r>
        <w:rPr>
          <w:i/>
          <w:iCs/>
        </w:rPr>
        <w:t xml:space="preserve">401; authenticated + no token</w:t>
      </w:r>
      <w:r>
        <w:rPr>
          <w:i/>
          <w:iCs/>
        </w:rPr>
        <w:t xml:space="preserve"> </w:t>
      </w:r>
      <m:oMath>
        <m:r>
          <m:rPr>
            <m:sty m:val="p"/>
          </m:rPr>
          <m:t>→</m:t>
        </m:r>
      </m:oMath>
      <w:r>
        <w:rPr>
          <w:i/>
          <w:iCs/>
        </w:rPr>
        <w:t xml:space="preserve"> </w:t>
      </w:r>
      <w:r>
        <w:rPr>
          <w:i/>
          <w:iCs/>
        </w:rPr>
        <w:t xml:space="preserve">400; both co-signatures</w:t>
      </w:r>
      <w:r>
        <w:rPr>
          <w:i/>
          <w:iCs/>
        </w:rPr>
        <w:t xml:space="preserve"> </w:t>
      </w:r>
      <m:oMath>
        <m:r>
          <m:rPr>
            <m:sty m:val="p"/>
          </m:rPr>
          <m:t>→</m:t>
        </m:r>
      </m:oMath>
      <w:r>
        <w:rPr>
          <w:i/>
          <w:iCs/>
        </w:rPr>
        <w:t xml:space="preserve"> </w:t>
      </w:r>
      <w:r>
        <w:rPr>
          <w:i/>
          <w:iCs/>
        </w:rPr>
        <w:t xml:space="preserve">200.</w:t>
      </w:r>
    </w:p>
    <w:bookmarkEnd w:id="27"/>
    <w:bookmarkEnd w:id="28"/>
    <w:bookmarkEnd w:id="29"/>
    <w:bookmarkStart w:id="30" w:name="necessity-lots-real-estate"/>
    <w:p>
      <w:pPr>
        <w:numPr>
          <w:ilvl w:val="0"/>
          <w:numId w:val="1002"/>
        </w:numPr>
        <w:pStyle w:val="Heading2"/>
      </w:pPr>
      <w:r>
        <w:t xml:space="preserve">CONSIDERATIONS ON NECESSITY AND PROPORTIONALITY</w:t>
      </w:r>
    </w:p>
    <w:p>
      <w:pPr>
        <w:pStyle w:val="FirstParagraph"/>
      </w:pPr>
      <w:r>
        <w:t xml:space="preserve">The lots/real estate pattern may be proportionate only where transparent eligibility, allocation audit, fraud prevention, and dispute handling are necessary. Canonical unlinkability does not justify opaque allocation rules or hidden adverse action. Production should wait until eligibility criteria, allocation logic, protected-class proxy review, retention, explanation, and appeal workflows are fixed.</w:t>
      </w:r>
    </w:p>
    <w:bookmarkEnd w:id="30"/>
    <w:bookmarkStart w:id="34" w:name="risk-lots-real-estate"/>
    <w:p>
      <w:pPr>
        <w:numPr>
          <w:ilvl w:val="0"/>
          <w:numId w:val="1002"/>
        </w:numPr>
        <w:pStyle w:val="Heading2"/>
      </w:pPr>
      <w:r>
        <w:t xml:space="preserve">RISK ASSESSMENT AND MANAGEMENT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36"/>
        <w:gridCol w:w="3650"/>
        <w:gridCol w:w="4774"/>
      </w:tblGrid>
      <w:tr>
        <w:trPr>
          <w:tblHeader w:val="on"/>
        </w:trPr>
        <w:tc>
          <w:tcPr>
            <w:tcW w:type="pct" w:w="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Follow-up</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Unfair allocation or discrimination</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Review eligibility criteria, protected-class proxies, and auditability</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Property/financial profiling</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Minimize public linkability of applicant and property interest</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Inaccurate eligibility</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correction, dispute, and appeal workflow</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Over-retention</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retention for unsuccessful applicants and expired allocations</w:t>
            </w:r>
          </w:p>
        </w:tc>
      </w:tr>
    </w:tbl>
    <w:bookmarkStart w:id="32" w:name="dpia-audit-lots-real-estate"/>
    <w:p>
      <w:pPr>
        <w:numPr>
          <w:ilvl w:val="1"/>
          <w:numId w:val="1002"/>
        </w:numPr>
        <w:pStyle w:val="Heading3"/>
      </w:pPr>
      <w:r>
        <w:t xml:space="preserve">DPIA Audit Findings</w:t>
      </w:r>
    </w:p>
    <w:p>
      <w:pPr>
        <w:pStyle w:val="FirstParagraph"/>
      </w:pPr>
      <w:r>
        <w:t xml:space="preserve">This DPIA is the audit record for lots and real estate allocation deployments. Before production, the DPIA must identify the provider partition across applicant identity or eligibility provider, allocation operator, protected linkage store, reconciling authority, canonical commit authority, payment/escrow provider if any, and telemetry/support providers. Canonical-state unlinkability does not reduce housing, property, fairness, anti-discrimination, explanation, or appeal obligations. The software evidence for the core kernel may be complete while eligibility criteria, allocation logic, notice, retention, appeal, and adverse-action controls still need to be fixed for this domain.</w:t>
      </w:r>
    </w:p>
    <w:bookmarkStart w:id="31" w:name="compliance-instructions-lots-real-estate"/>
    <w:p>
      <w:pPr>
        <w:numPr>
          <w:ilvl w:val="2"/>
          <w:numId w:val="1002"/>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31"/>
    <w:bookmarkEnd w:id="32"/>
    <w:bookmarkStart w:id="33" w:name="residual-risk-lots-real-estate"/>
    <w:p>
      <w:pPr>
        <w:numPr>
          <w:ilvl w:val="1"/>
          <w:numId w:val="1002"/>
        </w:numPr>
        <w:pStyle w:val="Heading3"/>
      </w:pPr>
      <w:r>
        <w:t xml:space="preserve">Residual Risk Assessment</w:t>
      </w:r>
    </w:p>
    <w:p>
      <w:pPr>
        <w:pStyle w:val="FirstParagraph"/>
      </w:pPr>
      <w:r>
        <w:t xml:space="preserve">The residual scores below assume the core Shyware twin-kernel controls are implemented and evidence-linked. The software evidence for the core kernel may be complete while housing/property eligibility, fairness, explanation, appeal, payment/escrow, or applicant-data choices still need to be fixed for this domain. These scores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02"/>
        <w:gridCol w:w="3370"/>
        <w:gridCol w:w="655"/>
        <w:gridCol w:w="655"/>
        <w:gridCol w:w="655"/>
        <w:gridCol w:w="1123"/>
      </w:tblGrid>
      <w:tr>
        <w:trPr>
          <w:tblHeader w:val="on"/>
        </w:trPr>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or allocation discrimination</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Criteria review, fairness testing, notice, and appeal process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housing/property fairness review</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Applicant identity or financial exposure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review, minimization, retention limits, and access controls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applicant-data controls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Adverse-action opacity</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Explanation, human review, and appeal workflow</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explanation and appeal process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Payment/escrow linkage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Payment provider review, tokenization, and role partitioning</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conditional on payment/escrow review</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for eligibility, allocation, payment/escrow, linkage, reconcile, commit, and telemetry roles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reconstruct linkage alone</w:t>
            </w:r>
          </w:p>
        </w:tc>
      </w:tr>
    </w:tbl>
    <w:bookmarkEnd w:id="33"/>
    <w:bookmarkEnd w:id="34"/>
    <w:bookmarkStart w:id="35" w:name="interested-parties-lots-real-estate"/>
    <w:p>
      <w:pPr>
        <w:numPr>
          <w:ilvl w:val="0"/>
          <w:numId w:val="1002"/>
        </w:numPr>
        <w:pStyle w:val="Heading2"/>
      </w:pPr>
      <w:r>
        <w:t xml:space="preserve">INVOLVEMENT OF INTERESTED PARTIES</w:t>
      </w:r>
    </w:p>
    <w:p>
      <w:pPr>
        <w:pStyle w:val="FirstParagraph"/>
      </w:pPr>
      <w:r>
        <w:t xml:space="preserve">Privacy counsel, housing/property counsel, fairness/compliance stakeholders, security, and customer DPO teams should review this DPIA before production. Data subject or representative consultation should be considered where housing, lending, public allocation, or materially adverse applicant outcomes may occur.</w:t>
      </w:r>
    </w:p>
    <w:bookmarkEnd w:id="35"/>
    <w:bookmarkStart w:id="36" w:name="conclusion-lots-real-estate"/>
    <w:p>
      <w:pPr>
        <w:numPr>
          <w:ilvl w:val="0"/>
          <w:numId w:val="1002"/>
        </w:numPr>
        <w:pStyle w:val="Heading2"/>
      </w:pPr>
      <w:r>
        <w:t xml:space="preserve">CONCLUSION AND DECISION</w:t>
      </w:r>
    </w:p>
    <w:p>
      <w:pPr>
        <w:pStyle w:val="FirstParagraph"/>
      </w:pPr>
      <w:r>
        <w:rPr>
          <w:b/>
          <w:bCs/>
        </w:rPr>
        <w:t xml:space="preserve">Draft decision:</w:t>
      </w:r>
      <w:r>
        <w:t xml:space="preserve"> </w:t>
      </w:r>
      <w:r>
        <w:t xml:space="preserve">Separate DPIA required before property or housing allocation launch.</w:t>
      </w:r>
    </w:p>
    <w:bookmarkEnd w:id="36"/>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2026-05-24T18:51:51Z</dcterms:created>
  <dcterms:modified xsi:type="dcterms:W3CDTF">2026-05-24T18:51:51Z</dcterms:modified>
</cp:coreProperties>
</file>

<file path=docProps/custom.xml><?xml version="1.0" encoding="utf-8"?>
<Properties xmlns="http://schemas.openxmlformats.org/officeDocument/2006/custom-properties" xmlns:vt="http://schemas.openxmlformats.org/officeDocument/2006/docPropsVTypes"/>
</file>