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FirstParagraph"/>
      </w:pPr>
      <w:r>
        <w:t xml:space="preserve">DPIA — Shyware Confidential Store and Keyless Recovery</w:t>
      </w:r>
    </w:p>
    <w:p>
      <w:r>
        <w:pict>
          <v:rect style="width:0;height:1.5pt" o:hralign="center" o:hrstd="t" o:hr="t"/>
        </w:pict>
      </w:r>
    </w:p>
    <w:bookmarkStart w:id="22" w:name="overview-confidential-store"/>
    <w:p>
      <w:pPr>
        <w:pStyle w:val="Heading2"/>
      </w:pPr>
      <w:r>
        <w:t xml:space="preserve">OVERVIEW OF THE PROCESSING</w:t>
      </w:r>
    </w:p>
    <w:bookmarkStart w:id="18" w:name="controllers-confidential-store"/>
    <w:p>
      <w:pPr>
        <w:pStyle w:val="Heading3"/>
      </w:pPr>
      <w:r>
        <w:t xml:space="preserve">Controller(s)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operating KEYBOX, EHR, secret-store, or keyless recovery product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Management units responsible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 Engineering; Security; Legal / Compliance; Data Protection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or similar function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DPO or privacy contact</w:t>
            </w:r>
          </w:p>
        </w:tc>
      </w:tr>
    </w:tbl>
    <w:bookmarkEnd w:id="18"/>
    <w:bookmarkStart w:id="19" w:name="processors-confidential-store"/>
    <w:p>
      <w:pPr>
        <w:pStyle w:val="Heading3"/>
      </w:pPr>
      <w:r>
        <w:t xml:space="preserve">Processor(s) and Sub-processor(s)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3650"/>
        <w:gridCol w:w="4961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Processor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Obligations and Tasks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co-mission LLC / Shyware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Provides SDK, shystore client, optional hosted API, reconciliation support, audit records, and processor assistance under the Shyware DPA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Cloud infrastructure provider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Hosts API, canonical node, database, backups, and security infrastructure where hosted services are used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Supports identity-gated recovery or reveal workflows where enabled by customer configuration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EHR or identity federation provider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Provides customer-authorized source records or authentication context where KEYBOX integrates with health or identity systems</w:t>
            </w:r>
          </w:p>
        </w:tc>
      </w:tr>
    </w:tbl>
    <w:bookmarkEnd w:id="19"/>
    <w:bookmarkStart w:id="20" w:name="name-confidential-store"/>
    <w:p>
      <w:pPr>
        <w:pStyle w:val="Heading3"/>
      </w:pPr>
      <w:r>
        <w:t xml:space="preserve">Name of the Processing</w:t>
      </w:r>
    </w:p>
    <w:p>
      <w:pPr>
        <w:pStyle w:val="FirstParagraph"/>
      </w:pPr>
      <w:r>
        <w:rPr>
          <w:b/>
          <w:bCs/>
        </w:rPr>
        <w:t xml:space="preserve">Internal name:</w:t>
      </w:r>
      <w:r>
        <w:t xml:space="preserve"> </w:t>
      </w:r>
      <w:r>
        <w:t xml:space="preserve">Shyware Confidential Store / KEYBOX Keyless Recovery DPIA</w:t>
      </w:r>
    </w:p>
    <w:p>
      <w:pPr>
        <w:pStyle w:val="BodyText"/>
      </w:pPr>
      <w:r>
        <w:rPr>
          <w:b/>
          <w:bCs/>
        </w:rPr>
        <w:t xml:space="preserve">Repository evidence:</w:t>
      </w:r>
      <w:r>
        <w:t xml:space="preserve"> </w:t>
      </w:r>
      <w:r>
        <w:rPr>
          <w:rStyle w:val="VerbatimChar"/>
        </w:rPr>
        <w:t xml:space="preserve">Consumers/KEYBOX</w:t>
      </w:r>
      <w:r>
        <w:t xml:space="preserve">;</w:t>
      </w:r>
      <w:r>
        <w:t xml:space="preserve"> </w:t>
      </w:r>
      <w:r>
        <w:rPr>
          <w:rStyle w:val="VerbatimChar"/>
        </w:rPr>
        <w:t xml:space="preserve">shyware/sdk/web/clients/embodiments/storeClient.js</w:t>
      </w:r>
      <w:r>
        <w:t xml:space="preserve">;</w:t>
      </w:r>
      <w:r>
        <w:t xml:space="preserve"> </w:t>
      </w:r>
      <w:r>
        <w:rPr>
          <w:rStyle w:val="VerbatimChar"/>
        </w:rPr>
        <w:t xml:space="preserve">shyware/domain/state/shystore</w:t>
      </w:r>
      <w:r>
        <w:t xml:space="preserve">;</w:t>
      </w:r>
      <w:r>
        <w:t xml:space="preserve"> </w:t>
      </w:r>
      <w:r>
        <w:rPr>
          <w:rStyle w:val="VerbatimChar"/>
        </w:rPr>
        <w:t xml:space="preserve">shyware/services/reconcile</w:t>
      </w:r>
      <w:r>
        <w:t xml:space="preserve">;</w:t>
      </w:r>
      <w:r>
        <w:t xml:space="preserve"> </w:t>
      </w:r>
      <w:r>
        <w:rPr>
          <w:rStyle w:val="VerbatimChar"/>
        </w:rPr>
        <w:t xml:space="preserve">patent/mainhub/dpia/evidence_index.md</w:t>
      </w:r>
      <w:r>
        <w:t xml:space="preserve">.</w:t>
      </w:r>
    </w:p>
    <w:bookmarkEnd w:id="20"/>
    <w:bookmarkStart w:id="21" w:name="technical-sheet-confidential-store"/>
    <w:p>
      <w:pPr>
        <w:pStyle w:val="Heading3"/>
      </w:pPr>
      <w:r>
        <w:t xml:space="preserve">DPIA Technical Sheet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Current version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0.1 draft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Reason to conduct DPIA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Potential high-risk processing because the product can store sealed secrets, EHR-style records, identity-gated recovery artifacts, and off-chain linkage records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Confidential store and keyless recovery workflows using shystore-v1, sealed payloads, and optional reconciliation authority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Publication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Internal domain DPIA; customer-specific adaptation required before production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Xa2588bf3186cf85914a03158902a49c88d0ad18"/>
    <w:p>
      <w:pPr>
        <w:numPr>
          <w:ilvl w:val="0"/>
          <w:numId w:val="1002"/>
        </w:numPr>
        <w:pStyle w:val="Heading2"/>
      </w:pPr>
      <w:r>
        <w:t xml:space="preserve">SYSTEMATIC DESCRIPTION OF THE PROCESSING</w:t>
      </w:r>
    </w:p>
    <w:bookmarkStart w:id="28" w:name="high-level-confidential-store"/>
    <w:p>
      <w:pPr>
        <w:numPr>
          <w:ilvl w:val="1"/>
          <w:numId w:val="1002"/>
        </w:numPr>
        <w:pStyle w:val="Heading3"/>
      </w:pPr>
      <w:r>
        <w:t xml:space="preserve">High-level Description of the Processing</w:t>
      </w:r>
    </w:p>
    <w:bookmarkStart w:id="23" w:name="processed-data-confidential-store"/>
    <w:p>
      <w:pPr>
        <w:numPr>
          <w:ilvl w:val="2"/>
          <w:numId w:val="1002"/>
        </w:numPr>
        <w:pStyle w:val="Heading4"/>
      </w:pPr>
      <w:r>
        <w:t xml:space="preserve">Processed Personal Data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3276"/>
        <w:gridCol w:w="2995"/>
        <w:gridCol w:w="2340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Type / Data Subject Category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Special Category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secret payload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Customer-configured secret, health record, recovery data, credential metadata, or support artifact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Possible, depending on customer payload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Secret identifier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Opaque nonce-derived or nonce-plus-payload identifier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No, but pseudonymous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or recovery hash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hash, Didit/Identus proof hash, or customer account commitment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Possible, depending on IDV provider data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record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Mapping between identity hash and secret/submission identifier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alone, high-risk when combined with recovery authority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Audit and closure record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Counts, signatures, Merkle roots, closure evidence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Support/admin data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administrator contact, support ticket, configuration metadata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23"/>
    <w:bookmarkStart w:id="24" w:name="purposes-confidential-store"/>
    <w:p>
      <w:pPr>
        <w:numPr>
          <w:ilvl w:val="2"/>
          <w:numId w:val="1002"/>
        </w:numPr>
        <w:pStyle w:val="Heading4"/>
      </w:pPr>
      <w:r>
        <w:t xml:space="preserve">Purposes of the Processing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4118"/>
        <w:gridCol w:w="4493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Legal Basis Assumption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Confidential storage of customer user records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determines basis; likely contract performance or legitimate interests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Keyless recovery or identity-gated reveal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determines basis; heightened transparency and necessity assessment required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Audit and integrity verification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Legitimate interests / legal obligation depending deployment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Security, abuse prevention, and service operation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Legitimate interests / contract performance</w:t>
            </w:r>
          </w:p>
        </w:tc>
      </w:tr>
    </w:tbl>
    <w:bookmarkEnd w:id="24"/>
    <w:bookmarkStart w:id="25" w:name="nature-confidential-store"/>
    <w:p>
      <w:pPr>
        <w:numPr>
          <w:ilvl w:val="2"/>
          <w:numId w:val="1002"/>
        </w:numPr>
        <w:pStyle w:val="Heading4"/>
      </w:pPr>
      <w:r>
        <w:t xml:space="preserve">Nature, Scope and Context</w:t>
      </w:r>
    </w:p>
    <w:p>
      <w:pPr>
        <w:pStyle w:val="FirstParagraph"/>
      </w:pPr>
      <w:r>
        <w:t xml:space="preserve">The processing supports confidential storage and recovery for customer-configured payloads. In the KEYBOX example, the product surface includes EHR-oriented flows and selective disclosure. Payloads are intended to be sealed before write or storage. The highest-risk element is not canonical state alone, but the combination of sensitive payloads, identity-gated recovery, and any off-chain linkage store.</w:t>
      </w:r>
    </w:p>
    <w:bookmarkEnd w:id="25"/>
    <w:bookmarkStart w:id="26" w:name="patent-alignment-confidential-store"/>
    <w:p>
      <w:pPr>
        <w:numPr>
          <w:ilvl w:val="2"/>
          <w:numId w:val="1002"/>
        </w:numPr>
        <w:pStyle w:val="Heading4"/>
      </w:pPr>
      <w:r>
        <w:t xml:space="preserve">Mainhub Patent Alignment</w:t>
      </w:r>
    </w:p>
    <w:p>
      <w:pPr>
        <w:pStyle w:val="FirstParagraph"/>
      </w:pPr>
      <w:r>
        <w:t xml:space="preserve">The Mainhub patent architecture supports canonical-state non-representability of the identity–payload join where the two-list rejection predicate is correctly implemented. For this domain, that guarantee does not cover plaintext before sealing, customer-selected payload schema, identity-gated recovery, EHR-style content, support workflows, backups, or off-chain linkage records. Residual risk must therefore be assessed at the protected-linkage and payload-governance layers, not only at the canonical state layer.</w:t>
      </w:r>
    </w:p>
    <w:bookmarkEnd w:id="26"/>
    <w:bookmarkStart w:id="27" w:name="authority-partition-confidential-store"/>
    <w:p>
      <w:pPr>
        <w:numPr>
          <w:ilvl w:val="2"/>
          <w:numId w:val="1002"/>
        </w:numPr>
        <w:pStyle w:val="Heading4"/>
      </w:pPr>
      <w:r>
        <w:t xml:space="preserve">Authority Partition</w:t>
      </w:r>
    </w:p>
    <w:p>
      <w:pPr>
        <w:pStyle w:val="FirstParagraph"/>
      </w:pPr>
      <w:r>
        <w:t xml:space="preserve">This is a sealer-governed embodiment (no unique-person count-match). Three parties: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872"/>
        <w:gridCol w:w="2995"/>
        <w:gridCol w:w="4493"/>
      </w:tblGrid>
      <w:tr>
        <w:trPr>
          <w:tblHeader w:val="on"/>
        </w:trP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Authority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Structural Constraint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Auth (Cognito)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layer; always required; also the delete-only authority for this embodiment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Rescissions logged for public appeals; no separate eligibility party registered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IDV/KYC (Didit)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Verifies account belongs to a real, verified person; assessed on authenticated users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Cannot access sealer, linkage store, or authorize canonical actions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store + sealer keys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Eligibility key never registered at scoping-identifier creation; rescission pathway unavailable by construction at the state-machine validation layer</w:t>
            </w:r>
          </w:p>
        </w:tc>
      </w:tr>
    </w:tbl>
    <w:p>
      <w:pPr>
        <w:pStyle w:val="BodyText"/>
      </w:pPr>
      <w:r>
        <w:t xml:space="preserve">Because this is a sealer-governed deployment, no eligibility authority key is registered and the rescission mechanism is structurally unavailable. The worst-case unilateral threat is payload disclosure via the sealer (reconciling authority).</w:t>
      </w:r>
    </w:p>
    <w:p>
      <w:pPr>
        <w:pStyle w:val="BodyText"/>
      </w:pPr>
      <w:r>
        <w:rPr>
          <w:b/>
          <w:bCs/>
        </w:rPr>
        <w:t xml:space="preserve">Art. 17 erasure (Claim 2, shystore-v1):</w:t>
      </w:r>
      <w:r>
        <w:t xml:space="preserve"> </w:t>
      </w:r>
      <w:r>
        <w:t xml:space="preserve">Verified by KEYBOX ERASURE section —</w:t>
      </w:r>
      <w:r>
        <w:t xml:space="preserve"> </w:t>
      </w:r>
      <w:r>
        <w:rPr>
          <w:b/>
          <w:bCs/>
          <w:i/>
          <w:iCs/>
        </w:rPr>
        <w:t xml:space="preserve">VERIFIED (run 25724794650):</w:t>
      </w:r>
      <w:r>
        <w:rPr>
          <w:i/>
          <w:iCs/>
        </w:rPr>
        <w:t xml:space="preserve"> </w:t>
      </w:r>
      <w:r>
        <w:rPr>
          <w:i/>
          <w:iCs/>
        </w:rPr>
        <w:t xml:space="preserve">DELETE returns 200; subsequent GET returns 404 (14/14 assertions pass).</w:t>
      </w:r>
    </w:p>
    <w:bookmarkEnd w:id="27"/>
    <w:bookmarkEnd w:id="28"/>
    <w:bookmarkStart w:id="29" w:name="X648b708952dbc3f83a2e8fe8756124ba88da14d"/>
    <w:p>
      <w:pPr>
        <w:numPr>
          <w:ilvl w:val="1"/>
          <w:numId w:val="1002"/>
        </w:numPr>
        <w:pStyle w:val="Heading3"/>
      </w:pPr>
      <w:r>
        <w:t xml:space="preserve">Functional Description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40"/>
        <w:gridCol w:w="2995"/>
        <w:gridCol w:w="4025"/>
      </w:tblGrid>
      <w:tr>
        <w:trPr>
          <w:tblHeader w:val="on"/>
        </w:trP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Operation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app receives user records or secrets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decides which fields enter the store and must minimize sensitive content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Sealing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Payload encrypted client-side or before broadcast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ABCI/canonical layer should not receive plaintext payload where sealing is enabled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write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SecretStore or related transaction committed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List 1 stores sealed payload/identifier; List 2 stores identity or eligibility record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re-authenticates through configured authority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Reconciliation path may map identity hash to submission id or return sealed payload under policy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instruction or user request triggers deletion/render unavailable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Must cover canonical state, off-chain store, local client storage, backups, and provider records</w:t>
            </w:r>
          </w:p>
        </w:tc>
      </w:tr>
    </w:tbl>
    <w:bookmarkEnd w:id="29"/>
    <w:bookmarkEnd w:id="30"/>
    <w:bookmarkStart w:id="33" w:name="analysis-confidential-store"/>
    <w:p>
      <w:pPr>
        <w:numPr>
          <w:ilvl w:val="0"/>
          <w:numId w:val="1002"/>
        </w:numPr>
        <w:pStyle w:val="Heading2"/>
      </w:pPr>
      <w:r>
        <w:t xml:space="preserve">ANALYSIS OF THE PROCESSING</w:t>
      </w:r>
    </w:p>
    <w:bookmarkStart w:id="31" w:name="lawfulness-confidential-store"/>
    <w:p>
      <w:pPr>
        <w:numPr>
          <w:ilvl w:val="1"/>
          <w:numId w:val="1002"/>
        </w:numPr>
        <w:pStyle w:val="Heading3"/>
      </w:pPr>
      <w:r>
        <w:t xml:space="preserve">Lawfulness of the Processing</w:t>
      </w:r>
    </w:p>
    <w:p>
      <w:pPr>
        <w:pStyle w:val="FirstParagraph"/>
      </w:pPr>
      <w:r>
        <w:t xml:space="preserve">Customer controllers must define the lawful basis per deployment. Shyware should not provide a universal legal-basis conclusion because the payload may range from ordinary secrets to health data. If health records, biometric-derived recovery, financial credentials, or employee records are processed, counsel must assess Article 9 GDPR, local health/privacy law, and sector-specific retention rules.</w:t>
      </w:r>
    </w:p>
    <w:bookmarkEnd w:id="31"/>
    <w:bookmarkStart w:id="32" w:name="minimisation-confidential-store"/>
    <w:p>
      <w:pPr>
        <w:numPr>
          <w:ilvl w:val="1"/>
          <w:numId w:val="1002"/>
        </w:numPr>
        <w:pStyle w:val="Heading3"/>
      </w:pPr>
      <w:r>
        <w:t xml:space="preserve">Data Minimisation, Retention Periods, and Data Quality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21"/>
        <w:gridCol w:w="3650"/>
        <w:gridCol w:w="3089"/>
      </w:tblGrid>
      <w:tr>
        <w:trPr>
          <w:tblHeader w:val="on"/>
        </w:trP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Item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Minimisation Position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Open Review Item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payload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Store only fields necessary for the customer purpose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prohibited fields and payload schema gates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 to product, tenant, and recovery domain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Confirm no cross-product reusable identifier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Disable unless recovery/reveal is required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access policy, logging, retention, and dual-control review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Local storage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 least persistent storage compatible with user workflow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browser/mobile deletion behavior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Exclude payload plaintext, identity hash, proof hash, and nonces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Confirm filters in production observability stack</w:t>
            </w:r>
          </w:p>
        </w:tc>
      </w:tr>
    </w:tbl>
    <w:bookmarkEnd w:id="32"/>
    <w:bookmarkEnd w:id="33"/>
    <w:bookmarkStart w:id="34" w:name="necessity-confidential-store"/>
    <w:p>
      <w:pPr>
        <w:numPr>
          <w:ilvl w:val="0"/>
          <w:numId w:val="1002"/>
        </w:numPr>
        <w:pStyle w:val="Heading2"/>
      </w:pPr>
      <w:r>
        <w:t xml:space="preserve">CONSIDERATIONS ON NECESSITY AND PROPORTIONALITY</w:t>
      </w:r>
    </w:p>
    <w:p>
      <w:pPr>
        <w:pStyle w:val="FirstParagraph"/>
      </w:pPr>
      <w:r>
        <w:t xml:space="preserve">The confidential store pattern may be proportionate where keyless recovery, auditability, and user-controlled disclosure are necessary for the customer product. It becomes harder to justify if customers use it as a general-purpose vault for unrestricted sensitive data without schema controls, retention limits, or a clearly bounded recovery path.</w:t>
      </w:r>
    </w:p>
    <w:bookmarkEnd w:id="34"/>
    <w:bookmarkStart w:id="41" w:name="risk-confidential-store"/>
    <w:p>
      <w:pPr>
        <w:numPr>
          <w:ilvl w:val="0"/>
          <w:numId w:val="1002"/>
        </w:numPr>
        <w:pStyle w:val="Heading2"/>
      </w:pPr>
      <w:r>
        <w:t xml:space="preserve">RISK ASSESSMENT AND MANAGEMENT</w:t>
      </w:r>
    </w:p>
    <w:bookmarkStart w:id="40" w:name="risk-management-confidential-store"/>
    <w:p>
      <w:pPr>
        <w:numPr>
          <w:ilvl w:val="1"/>
          <w:numId w:val="1002"/>
        </w:numPr>
        <w:pStyle w:val="Heading3"/>
      </w:pPr>
      <w:r>
        <w:t xml:space="preserve">Risk Assessment and Management</w:t>
      </w:r>
    </w:p>
    <w:bookmarkStart w:id="35" w:name="threats-confidential-store"/>
    <w:p>
      <w:pPr>
        <w:numPr>
          <w:ilvl w:val="2"/>
          <w:numId w:val="1002"/>
        </w:numPr>
        <w:pStyle w:val="Heading4"/>
      </w:pPr>
      <w:r>
        <w:t xml:space="preserve">Threats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55"/>
        <w:gridCol w:w="2527"/>
        <w:gridCol w:w="4025"/>
        <w:gridCol w:w="2153"/>
      </w:tblGrid>
      <w:tr>
        <w:trPr>
          <w:tblHeader w:val="on"/>
        </w:trP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Threat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Materialisation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Initial Risk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Sensitive payload exposure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compromise, client compromise, or plaintext logging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Recovery authority overreach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Reconciliation endpoint reveals or links records beyond user instruction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Cross-domain linkability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 reused across products or tenants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EHR or special-category misuse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stores health/sensitive data without legal basis or notice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 failure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Canonical/off-chain/local/backup stores diverge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Medium/High</w:t>
            </w:r>
          </w:p>
        </w:tc>
      </w:tr>
    </w:tbl>
    <w:bookmarkEnd w:id="35"/>
    <w:bookmarkStart w:id="36" w:name="mitigations-confidential-store"/>
    <w:p>
      <w:pPr>
        <w:numPr>
          <w:ilvl w:val="2"/>
          <w:numId w:val="1002"/>
        </w:numPr>
        <w:pStyle w:val="Heading4"/>
      </w:pPr>
      <w:r>
        <w:t xml:space="preserve">Additional Mitigating Measures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936"/>
        <w:gridCol w:w="6552"/>
        <w:gridCol w:w="1872"/>
      </w:tblGrid>
      <w:tr>
        <w:trPr>
          <w:tblHeader w:val="on"/>
        </w:trP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 payload schema review and restricted-data policy before production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 identity hashes per tenant, app, and recovery domain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Dual-control reconciliation for reveal/recovery of high-risk payloads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Explicit telemetry exclusion checks for payloads, hashes, proof values, and nonces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End-to-end deletion evidence across canonical, off-chain, local, backup, and provider records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</w:tbl>
    <w:bookmarkEnd w:id="36"/>
    <w:bookmarkStart w:id="37" w:name="dpia-audit-confidential-store"/>
    <w:p>
      <w:pPr>
        <w:numPr>
          <w:ilvl w:val="2"/>
          <w:numId w:val="1002"/>
        </w:numPr>
        <w:pStyle w:val="Heading4"/>
      </w:pPr>
      <w:r>
        <w:t xml:space="preserve">DPIA Audit Findings</w:t>
      </w:r>
    </w:p>
    <w:p>
      <w:pPr>
        <w:pStyle w:val="FirstParagraph"/>
      </w:pPr>
      <w:r>
        <w:t xml:space="preserve">This DPIA is the audit record for the confidential-store processing pattern. The following findings must be resolved in this DPIA or in a customer-specific version before production.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966"/>
        <w:gridCol w:w="4493"/>
        <w:gridCol w:w="2902"/>
      </w:tblGrid>
      <w:tr>
        <w:trPr>
          <w:tblHeader w:val="on"/>
        </w:trP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Audit Area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Required Finding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Current Status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Patent posture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Write-side canonical state may reduce identity–payload linkage only if the rejection predicate, sealing boundary, and intermediate-state exclusion are implemented and evidenced.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Engineering tests exist for core state-machine invariants; DPIA evidence link pending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 linkage / reconcile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Recovery or reveal must be disabled, user-only, or dual-control depending payload sensitivity; bulk or operator-enumerable recovery is not acceptable.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Open; customer recovery policy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partitioning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Identify IDV/auth provider, linkage store, reconciling authority, canonical commit authority, telemetry/support provider, and whether any provider can reconstruct linkage alone.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Open; provider matrix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Payload/content risk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Health, credential, secret, or support payloads can identify the data subject regardless of canonical unlinkability.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High; payload schema and prohibited-field policy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Endpoint / local state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Browser/mobile cache, support export, backups, and local recovery artifacts may expose secrets.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Deletion/local-wipe evidence link pending for this domain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Residual risk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Generic confidential-store use is not approved without customer-specific legal basis, retention, deletion, and recovery-mode review.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acceptable for production until completed</w:t>
            </w:r>
          </w:p>
        </w:tc>
      </w:tr>
    </w:tbl>
    <w:bookmarkEnd w:id="37"/>
    <w:bookmarkStart w:id="38" w:name="X2788af3db1e4877bd8bfa4e21c195d9f1857c5d"/>
    <w:p>
      <w:pPr>
        <w:numPr>
          <w:ilvl w:val="2"/>
          <w:numId w:val="1002"/>
        </w:numPr>
        <w:pStyle w:val="Heading4"/>
      </w:pPr>
      <w:r>
        <w:t xml:space="preserve">Operator Compliance Instructions</w:t>
      </w:r>
    </w:p>
    <w:p>
      <w:pPr>
        <w:pStyle w:val="FirstParagraph"/>
      </w:pPr>
      <w:r>
        <w:t xml:space="preserve">For the non-code governance residuals identified in this DPIA, the operator is instructed by the</w:t>
      </w:r>
      <w:r>
        <w:t xml:space="preserve"> </w:t>
      </w:r>
      <w:r>
        <w:rPr>
          <w:b/>
          <w:bCs/>
        </w:rPr>
        <w:t xml:space="preserve">Shyware SDK Compliance Guide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patent/mainhub/dpia/source/COMPLIANCE_GUIDE.tex</w:t>
      </w:r>
      <w:r>
        <w:t xml:space="preserve">; published at</w:t>
      </w:r>
      <w:r>
        <w:t xml:space="preserve"> </w:t>
      </w:r>
      <w:r>
        <w:rPr>
          <w:rStyle w:val="VerbatimChar"/>
        </w:rPr>
        <w:t xml:space="preserve">https://shyware.fyi/legal</w:t>
      </w:r>
      <w:r>
        <w:t xml:space="preserve">). Key operator obligations: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6 lawfulness basis</w:t>
      </w:r>
      <w:r>
        <w:t xml:space="preserve"> </w:t>
      </w:r>
      <w:r>
        <w:t xml:space="preserve">— Identify and document the legal basis for each processing purpose before production.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28 sub-processor DPAs</w:t>
      </w:r>
      <w:r>
        <w:t xml:space="preserve"> </w:t>
      </w:r>
      <w:r>
        <w:t xml:space="preserve">— Execute signed DPAs with all subprocessors listed in the generated Records of Processing (</w:t>
      </w:r>
      <w:r>
        <w:rPr>
          <w:rStyle w:val="VerbatimChar"/>
        </w:rPr>
        <w:t xml:space="preserve">node scripts/generate-rop.mjs --config shyconfig.json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30 Records of Processing</w:t>
      </w:r>
      <w:r>
        <w:t xml:space="preserve"> </w:t>
      </w:r>
      <w:r>
        <w:t xml:space="preserve">— Generate from shyconfig using</w:t>
      </w:r>
      <w:r>
        <w:t xml:space="preserve"> </w:t>
      </w:r>
      <w:r>
        <w:rPr>
          <w:rStyle w:val="VerbatimChar"/>
        </w:rPr>
        <w:t xml:space="preserve">generate-rop.mjs</w:t>
      </w:r>
      <w:r>
        <w:t xml:space="preserve">; complete all</w:t>
      </w:r>
      <w:r>
        <w:t xml:space="preserve"> </w:t>
      </w:r>
      <w:r>
        <w:rPr>
          <w:rStyle w:val="VerbatimChar"/>
        </w:rPr>
        <w:t xml:space="preserve">REQUIRED_OPERATOR_INPUT</w:t>
      </w:r>
      <w:r>
        <w:t xml:space="preserve"> </w:t>
      </w:r>
      <w:r>
        <w:t xml:space="preserve">fields; maintain under Art. 30(1).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Storage limitation (Art. 5(1)(e))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block to shyconfig.json; configure and operationally enforce the</w:t>
      </w:r>
      <w:r>
        <w:t xml:space="preserve"> </w:t>
      </w:r>
      <w:r>
        <w:rPr>
          <w:rStyle w:val="VerbatimChar"/>
        </w:rPr>
        <w:t xml:space="preserve">deletion_cron</w:t>
      </w:r>
      <w:r>
        <w:t xml:space="preserve"> </w:t>
      </w:r>
      <w:r>
        <w:t xml:space="preserve">schedule.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Three-authority key independence</w:t>
      </w:r>
      <w:r>
        <w:t xml:space="preserve"> </w:t>
      </w:r>
      <w:r>
        <w:t xml:space="preserve">— Verify at scoping-identifier creation that eligibility_authority_key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reconciling_authority_key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auth_key.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Quarterly independent audit</w:t>
      </w:r>
      <w:r>
        <w:t xml:space="preserve"> </w:t>
      </w:r>
      <w:r>
        <w:t xml:space="preserve">— Engage an independent auditor to verify three-authority operational separation before production.</w:t>
      </w:r>
    </w:p>
    <w:bookmarkEnd w:id="38"/>
    <w:bookmarkStart w:id="39" w:name="residual-risk-confidential-store"/>
    <w:p>
      <w:pPr>
        <w:numPr>
          <w:ilvl w:val="2"/>
          <w:numId w:val="1002"/>
        </w:numPr>
        <w:pStyle w:val="Heading4"/>
      </w:pPr>
      <w:r>
        <w:t xml:space="preserve">Residual Risk Assessment</w:t>
      </w:r>
    </w:p>
    <w:p>
      <w:pPr>
        <w:pStyle w:val="FirstParagraph"/>
      </w:pPr>
      <w:r>
        <w:t xml:space="preserve">The residual scores below assume the core Shyware twin-kernel controls are implemented and evidence-linked. The software evidence for the core kernel may be complete while confidential-store payload, recovery, deletion, retention, legal-basis, or customer-configuration choices still need to be fixed for this domain. These scores describe residual domain risk after validation; they do not say the kernel tests were missing.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46"/>
        <w:gridCol w:w="3650"/>
        <w:gridCol w:w="749"/>
        <w:gridCol w:w="749"/>
        <w:gridCol w:w="749"/>
        <w:gridCol w:w="1217"/>
      </w:tblGrid>
      <w:tr>
        <w:trPr>
          <w:tblHeader w:val="on"/>
        </w:trP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Additional Measures Applied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Likelihood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Severity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Level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Acceptable?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Sensitive payload exposure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Payload sealing, schema review, telemetry exclusions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customer-specific payload controls; not a kernel-test gap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Recovery authority overreach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Dual-control reconciliation, audit logs, non-enumerable reconcile API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recovery policy before production; not a kernel-test gap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Cross-domain linkability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Tenant/app/recovery-domain scoped identity hashes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with derivation evidence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EHR or special-category misuse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legal-basis review and restricted-data policy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health/sensitive-data counsel review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 failure across stores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End-to-end deletion evidence across canonical, off-chain, local, backup, and provider records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domain deletion evidence attachment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consolidation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partition matrix for IDV/auth, linkage store, reconcile, commit, and telemetry roles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where no ordinary single provider can reconstruct linkage alone</w:t>
            </w:r>
          </w:p>
        </w:tc>
      </w:tr>
    </w:tbl>
    <w:bookmarkEnd w:id="39"/>
    <w:bookmarkEnd w:id="40"/>
    <w:bookmarkEnd w:id="41"/>
    <w:bookmarkStart w:id="42" w:name="interested-parties-confidential-store"/>
    <w:p>
      <w:pPr>
        <w:numPr>
          <w:ilvl w:val="0"/>
          <w:numId w:val="1002"/>
        </w:numPr>
        <w:pStyle w:val="Heading2"/>
      </w:pPr>
      <w:r>
        <w:t xml:space="preserve">INVOLVEMENT OF INTERESTED PARTIES</w:t>
      </w:r>
    </w:p>
    <w:p>
      <w:pPr>
        <w:pStyle w:val="FirstParagraph"/>
      </w:pPr>
      <w:r>
        <w:t xml:space="preserve">DPO and customer privacy/security stakeholders should review this DPIA before production. Data subject consultation may be appropriate where the customer uses the product for health, employment, education, or other sensitive contexts.</w:t>
      </w:r>
    </w:p>
    <w:bookmarkEnd w:id="42"/>
    <w:bookmarkStart w:id="43" w:name="conclusion-confidential-store"/>
    <w:p>
      <w:pPr>
        <w:numPr>
          <w:ilvl w:val="0"/>
          <w:numId w:val="1002"/>
        </w:numPr>
        <w:pStyle w:val="Heading2"/>
      </w:pPr>
      <w:r>
        <w:t xml:space="preserve">CONCLUSION AND DECISION</w:t>
      </w:r>
    </w:p>
    <w:p>
      <w:pPr>
        <w:pStyle w:val="FirstParagraph"/>
      </w:pPr>
      <w:r>
        <w:rPr>
          <w:b/>
          <w:bCs/>
        </w:rPr>
        <w:t xml:space="preserve">Draft decision:</w:t>
      </w:r>
      <w:r>
        <w:t xml:space="preserve"> </w:t>
      </w:r>
      <w:r>
        <w:t xml:space="preserve">Not approved for production as a generic store. Proceed only after customer-specific payload scope, legal basis, identity/recovery mode, retention, deletion, and subprocessor review are completed.</w:t>
      </w:r>
    </w:p>
    <w:bookmarkEnd w:id="43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Domain DPIA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2026-05-12T12:09:21Z</dcterms:created>
  <dcterms:modified xsi:type="dcterms:W3CDTF">2026-05-12T12:09:21Z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