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Private Value Transfer</w:t>
      </w:r>
    </w:p>
    <w:p>
      <w:r>
        <w:pict>
          <v:rect style="width:0;height:1.5pt" o:hralign="center" o:hrstd="t" o:hr="t"/>
        </w:pict>
      </w:r>
    </w:p>
    <w:bookmarkStart w:id="20" w:name="overview-value-transfer"/>
    <w:p>
      <w:pPr>
        <w:pStyle w:val="Heading2"/>
      </w:pPr>
      <w:r>
        <w:t xml:space="preserve">OVERVIEW OF THE PROCESSING</w:t>
      </w:r>
    </w:p>
    <w:bookmarkStart w:id="18" w:name="controllers-value-transfer"/>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private transfer rail or customer transfer product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Repository evidence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Consumers/ONEWAY_WIKI</w:t>
            </w:r>
            <w:r>
              <w:t xml:space="preserve">;</w:t>
            </w:r>
            <w:r>
              <w:t xml:space="preserve"> </w:t>
            </w:r>
            <w:r>
              <w:rPr>
                <w:rStyle w:val="VerbatimChar"/>
              </w:rPr>
              <w:t xml:space="preserve">wireClient.js</w:t>
            </w:r>
            <w:r>
              <w:t xml:space="preserve">;</w:t>
            </w:r>
            <w:r>
              <w:t xml:space="preserve"> </w:t>
            </w:r>
            <w:r>
              <w:rPr>
                <w:rStyle w:val="VerbatimChar"/>
              </w:rPr>
              <w:t xml:space="preserve">shyware/embodiments/shywire</w:t>
            </w:r>
            <w:r>
              <w:t xml:space="preserve">;</w:t>
            </w:r>
            <w:r>
              <w:t xml:space="preserve"> </w:t>
            </w:r>
            <w:r>
              <w:rPr>
                <w:rStyle w:val="VerbatimChar"/>
              </w:rPr>
              <w:t xml:space="preserve">patent/mainhub/dpia/evidence_index.md</w:t>
            </w:r>
          </w:p>
        </w:tc>
      </w:tr>
    </w:tbl>
    <w:bookmarkEnd w:id="18"/>
    <w:bookmarkStart w:id="19" w:name="name-value-transfer"/>
    <w:p>
      <w:pPr>
        <w:pStyle w:val="Heading3"/>
      </w:pPr>
      <w:r>
        <w:t xml:space="preserve">Name of the Processing</w:t>
      </w:r>
    </w:p>
    <w:p>
      <w:pPr>
        <w:pStyle w:val="FirstParagraph"/>
      </w:pPr>
      <w:r>
        <w:rPr>
          <w:b/>
          <w:bCs/>
        </w:rPr>
        <w:t xml:space="preserve">Internal name:</w:t>
      </w:r>
      <w:r>
        <w:t xml:space="preserve"> </w:t>
      </w:r>
      <w:r>
        <w:t xml:space="preserve">Shyware Private Value Transfer DPIA</w:t>
      </w:r>
    </w:p>
    <w:p>
      <w:r>
        <w:pict>
          <v:rect style="width:0;height:1.5pt" o:hralign="center" o:hrstd="t" o:hr="t"/>
        </w:pict>
      </w:r>
    </w:p>
    <w:bookmarkEnd w:id="19"/>
    <w:bookmarkEnd w:id="20"/>
    <w:bookmarkStart w:id="25" w:name="systematic-description-value-transfer"/>
    <w:p>
      <w:pPr>
        <w:numPr>
          <w:ilvl w:val="0"/>
          <w:numId w:val="1004"/>
        </w:numPr>
        <w:pStyle w:val="Heading2"/>
      </w:pPr>
      <w:r>
        <w:t xml:space="preserve">SYSTEMATIC DESCRIPTION OF THE PROCESSING</w:t>
      </w:r>
    </w:p>
    <w:bookmarkStart w:id="24" w:name="high-level-value-transfer"/>
    <w:p>
      <w:pPr>
        <w:numPr>
          <w:ilvl w:val="1"/>
          <w:numId w:val="1004"/>
        </w:numPr>
        <w:pStyle w:val="Heading3"/>
      </w:pPr>
      <w:r>
        <w:t xml:space="preserve">High-level Description of the Processing</w:t>
      </w:r>
    </w:p>
    <w:bookmarkStart w:id="21" w:name="processed-data-value-transfer"/>
    <w:p>
      <w:pPr>
        <w:numPr>
          <w:ilvl w:val="2"/>
          <w:numId w:val="1004"/>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42"/>
        <w:gridCol w:w="3089"/>
        <w:gridCol w:w="2621"/>
        <w:gridCol w:w="2808"/>
      </w:tblGrid>
      <w:tr>
        <w:trPr>
          <w:tblHeader w:val="on"/>
        </w:trPr>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Transfer record</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Asset id, amount, sender/recipient commitments, timestamp</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Financial/high-risk</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commitment</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Pseudonymous sender or recipient commitment</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Eligibility/KYC/KYB status</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Compliance status, sanctions/fraud screening, entity verification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Recovery/reconcile record</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mapping for recoverable posture or lawful attribution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bl>
    <w:bookmarkEnd w:id="21"/>
    <w:bookmarkStart w:id="22" w:name="purposes-value-transfer"/>
    <w:p>
      <w:pPr>
        <w:numPr>
          <w:ilvl w:val="2"/>
          <w:numId w:val="1004"/>
        </w:numPr>
        <w:pStyle w:val="Heading4"/>
      </w:pPr>
      <w:r>
        <w:t xml:space="preserve">Purposes of the Processing</w:t>
      </w:r>
    </w:p>
    <w:p>
      <w:pPr>
        <w:pStyle w:val="FirstParagraph"/>
      </w:pPr>
      <w:r>
        <w:t xml:space="preserve">Enable private value transfer, audit of conservation invariants, fraud prevention, recovery, and lawful compliance workflows.</w:t>
      </w:r>
    </w:p>
    <w:bookmarkEnd w:id="22"/>
    <w:bookmarkStart w:id="23" w:name="nature-value-transfer"/>
    <w:p>
      <w:pPr>
        <w:numPr>
          <w:ilvl w:val="2"/>
          <w:numId w:val="1004"/>
        </w:numPr>
        <w:pStyle w:val="Heading4"/>
      </w:pPr>
      <w:r>
        <w:t xml:space="preserve">Nature, Scope and Context</w:t>
      </w:r>
    </w:p>
    <w:p>
      <w:pPr>
        <w:pStyle w:val="FirstParagraph"/>
      </w:pPr>
      <w:r>
        <w:t xml:space="preserve">Value transfer can involve financial data, fraud/sanctions controls, disputes, and regulated payment or asset-transfer obligations. Canonical-state privacy controls must be balanced against compliance and lawful attribution requirements.</w:t>
      </w:r>
    </w:p>
    <w:bookmarkEnd w:id="23"/>
    <w:bookmarkEnd w:id="24"/>
    <w:bookmarkEnd w:id="25"/>
    <w:bookmarkStart w:id="29" w:name="analysis-value-transfer"/>
    <w:p>
      <w:pPr>
        <w:numPr>
          <w:ilvl w:val="0"/>
          <w:numId w:val="1004"/>
        </w:numPr>
        <w:pStyle w:val="Heading2"/>
      </w:pPr>
      <w:r>
        <w:t xml:space="preserve">ANALYSIS OF THE PROCESSING</w:t>
      </w:r>
    </w:p>
    <w:bookmarkStart w:id="26" w:name="lawfulness-value-transfer"/>
    <w:p>
      <w:pPr>
        <w:numPr>
          <w:ilvl w:val="1"/>
          <w:numId w:val="1004"/>
        </w:numPr>
        <w:pStyle w:val="Heading3"/>
      </w:pPr>
      <w:r>
        <w:t xml:space="preserve">Lawfulness and Minimisation</w:t>
      </w:r>
    </w:p>
    <w:p>
      <w:pPr>
        <w:pStyle w:val="FirstParagraph"/>
      </w:pPr>
      <w:r>
        <w:t xml:space="preserve">Customer controllers must determine financial-services, AML/KYC, consumer-protection, and transfer-law obligations. Shyware should avoid claiming that canonical-state unlinkability eliminates regulated reporting or sanctions obligations.</w:t>
      </w:r>
    </w:p>
    <w:bookmarkEnd w:id="26"/>
    <w:bookmarkStart w:id="28" w:name="patent-alignment-value-transfer"/>
    <w:p>
      <w:pPr>
        <w:numPr>
          <w:ilvl w:val="1"/>
          <w:numId w:val="1004"/>
        </w:numPr>
        <w:pStyle w:val="Heading3"/>
      </w:pPr>
      <w:r>
        <w:t xml:space="preserve">Mainhub Patent Alignment</w:t>
      </w:r>
    </w:p>
    <w:p>
      <w:pPr>
        <w:pStyle w:val="FirstParagraph"/>
      </w:pPr>
      <w:r>
        <w:t xml:space="preserve">The Mainhub patent architecture can reduce canonical-state linkage between identity/account commitments and transfer payload records. It does not remove obligations to identify parties, preserve financial records, screen sanctions, detect fraud, or provide lawful reporting where required. Any value-transfer deployment must treat compliance hooks, off-chain reconciliation, wallet/account proof, and dispute controls as residual risk surfaces.</w:t>
      </w:r>
    </w:p>
    <w:bookmarkStart w:id="27" w:name="authority-partition-value-transfer"/>
    <w:p>
      <w:pPr>
        <w:numPr>
          <w:ilvl w:val="2"/>
          <w:numId w:val="1004"/>
        </w:numPr>
        <w:pStyle w:val="Heading4"/>
      </w:pPr>
      <w:r>
        <w:t xml:space="preserve">Authority Partition</w:t>
      </w:r>
    </w:p>
    <w:p>
      <w:pPr>
        <w:pStyle w:val="FirstParagraph"/>
      </w:pPr>
      <w:r>
        <w:t xml:space="preserve">This is a count-match embodiment. Four structurally separated parties are required: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3089"/>
        <w:gridCol w:w="3931"/>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gates access to IDV/KYC stage</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write canonical records; no linkage data</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IDV/KYC (Didit)</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Performs KYC/AML compliance verification on authenticated users</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Enrollment/eligibility authority (enrolling bank or financial institution)</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Determines whether KYC-verified user is eligible for transfers; registered independently at scoping-identifier creation</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Delete-only on canonical state; requires reconciling co-signature to execute rescission; every rescission is append-only in canonical state and never deletable; cannot write, inflate, or fabricate; stablecoin issuer (Circle) holds read-only reconcile access for AML/OFAC compliance separately</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eligibility co-signature for any rescission; cannot forge identity</w:t>
            </w:r>
          </w:p>
        </w:tc>
      </w:tr>
    </w:tbl>
    <w:p>
      <w:pPr>
        <w:pStyle w:val="BodyText"/>
      </w:pPr>
      <w:r>
        <w:rPr>
          <w:b/>
          <w:bCs/>
        </w:rPr>
        <w:t xml:space="preserve">Dual co-authorization enforcement (Claim 2):</w:t>
      </w:r>
      <w:r>
        <w:t xml:space="preserve"> </w:t>
      </w:r>
      <w:r>
        <w:t xml:space="preserve">The validation layer must reject single-signature rescission transactions. Both the enrollment authority and reconciling authority co-signatures are required before any canonical deletion.</w:t>
      </w:r>
      <w:r>
        <w:t xml:space="preserve"> </w:t>
      </w:r>
      <w:r>
        <w:rPr>
          <w:b/>
          <w:bCs/>
          <w:i/>
          <w:iCs/>
        </w:rPr>
        <w:t xml:space="preserve">VERIFIED (run 26369476939):</w:t>
      </w:r>
      <w:r>
        <w:rPr>
          <w:i/>
          <w:iCs/>
        </w:rPr>
        <w:t xml:space="preserve"> </w:t>
      </w:r>
      <w:r>
        <w:rPr>
          <w:i/>
          <w:iCs/>
        </w:rPr>
        <w:t xml:space="preserve">DUAL_COSIG section passes 379/379 — unauthenticated + valid token</w:t>
      </w:r>
      <w:r>
        <w:rPr>
          <w:i/>
          <w:iCs/>
        </w:rPr>
        <w:t xml:space="preserve"> </w:t>
      </w:r>
      <m:oMath>
        <m:r>
          <m:rPr>
            <m:sty m:val="p"/>
          </m:rPr>
          <m:t>→</m:t>
        </m:r>
      </m:oMath>
      <w:r>
        <w:rPr>
          <w:i/>
          <w:iCs/>
        </w:rPr>
        <w:t xml:space="preserve"> </w:t>
      </w:r>
      <w:r>
        <w:rPr>
          <w:i/>
          <w:iCs/>
        </w:rPr>
        <w:t xml:space="preserve">401; authenticated + no token</w:t>
      </w:r>
      <w:r>
        <w:rPr>
          <w:i/>
          <w:iCs/>
        </w:rPr>
        <w:t xml:space="preserve"> </w:t>
      </w:r>
      <m:oMath>
        <m:r>
          <m:rPr>
            <m:sty m:val="p"/>
          </m:rPr>
          <m:t>→</m:t>
        </m:r>
      </m:oMath>
      <w:r>
        <w:rPr>
          <w:i/>
          <w:iCs/>
        </w:rPr>
        <w:t xml:space="preserve"> </w:t>
      </w:r>
      <w:r>
        <w:rPr>
          <w:i/>
          <w:iCs/>
        </w:rPr>
        <w:t xml:space="preserve">400; both co-signatures</w:t>
      </w:r>
      <w:r>
        <w:rPr>
          <w:i/>
          <w:iCs/>
        </w:rPr>
        <w:t xml:space="preserve"> </w:t>
      </w:r>
      <m:oMath>
        <m:r>
          <m:rPr>
            <m:sty m:val="p"/>
          </m:rPr>
          <m:t>→</m:t>
        </m:r>
      </m:oMath>
      <w:r>
        <w:rPr>
          <w:i/>
          <w:iCs/>
        </w:rPr>
        <w:t xml:space="preserve"> </w:t>
      </w:r>
      <w:r>
        <w:rPr>
          <w:i/>
          <w:iCs/>
        </w:rPr>
        <w:t xml:space="preserve">200, countMatch preserved.</w:t>
      </w:r>
    </w:p>
    <w:bookmarkEnd w:id="27"/>
    <w:bookmarkEnd w:id="28"/>
    <w:bookmarkEnd w:id="29"/>
    <w:bookmarkStart w:id="30" w:name="necessity-value-transfer"/>
    <w:p>
      <w:pPr>
        <w:numPr>
          <w:ilvl w:val="0"/>
          <w:numId w:val="1004"/>
        </w:numPr>
        <w:pStyle w:val="Heading2"/>
      </w:pPr>
      <w:r>
        <w:t xml:space="preserve">CONSIDERATIONS ON NECESSITY AND PROPORTIONALITY</w:t>
      </w:r>
    </w:p>
    <w:p>
      <w:pPr>
        <w:pStyle w:val="FirstParagraph"/>
      </w:pPr>
      <w:r>
        <w:t xml:space="preserve">The private value transfer pattern may be proportionate where transfer privacy, conservation auditability, fraud prevention, dispute handling, and legally required reporting can coexist. Protected linkage and reveal workflows should be limited to compliance, dispute, fraud, user recovery, or legally required reporting. Production should wait until regulated-reporting posture, payment/settlement flow, retention, adverse-action, and lawful-access policies are fixed.</w:t>
      </w:r>
    </w:p>
    <w:bookmarkEnd w:id="30"/>
    <w:bookmarkStart w:id="34" w:name="risk-value-transfer"/>
    <w:p>
      <w:pPr>
        <w:numPr>
          <w:ilvl w:val="0"/>
          <w:numId w:val="1004"/>
        </w:numPr>
        <w:pStyle w:val="Heading2"/>
      </w:pPr>
      <w:r>
        <w:t xml:space="preserve">RISK ASSESSMENT AND MANAGEMENT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36"/>
        <w:gridCol w:w="4025"/>
        <w:gridCol w:w="4399"/>
      </w:tblGrid>
      <w:tr>
        <w:trPr>
          <w:tblHeader w:val="on"/>
        </w:trPr>
        <w:tc>
          <w:tcPr>
            <w:tcW w:type="pct" w:w="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Follow-up</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 profiling or transfer deanonymization</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Scope commitments and minimize off-chain linkage</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Compliance failure</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Map AML/KYC/sanctions obligations per launch jurisdiction</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Fraud or unauthorized transfer</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Review account auth, wallet proof, and dispute controls</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Recovery authority overreach</w:t>
            </w:r>
          </w:p>
        </w:tc>
        <w:tc>
          <w:tcPr>
            <w:tcW w:type="pct" w:w="23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lawful-access, dual-control, and audit logs</w:t>
            </w:r>
          </w:p>
        </w:tc>
      </w:tr>
    </w:tbl>
    <w:bookmarkStart w:id="32" w:name="dpia-audit-value-transfer"/>
    <w:p>
      <w:pPr>
        <w:numPr>
          <w:ilvl w:val="1"/>
          <w:numId w:val="1004"/>
        </w:numPr>
        <w:pStyle w:val="Heading3"/>
      </w:pPr>
      <w:r>
        <w:t xml:space="preserve">DPIA Audit Findings</w:t>
      </w:r>
    </w:p>
    <w:p>
      <w:pPr>
        <w:pStyle w:val="FirstParagraph"/>
      </w:pPr>
      <w:r>
        <w:t xml:space="preserve">This DPIA is the audit record for private value transfer deployments. Before production, the DPIA must identify the provider partition across KYC/KYB or wallet provider, payment/settlement provider, protected linkage store, reconciling authority, canonical commit authority, sanctions/fraud provider, and telemetry/support providers. Canonical-state unlinkability does not reduce AML, sanctions, fraud, reporting, dispute, tax, or consumer-protection obligations. The software evidence for the core kernel may be complete while legal basis, regulated-reporting posture, recovery/reveal, retention, and adverse-action controls still need to be fixed for this domain.</w:t>
      </w:r>
    </w:p>
    <w:bookmarkStart w:id="31" w:name="compliance-instructions-value-transfer"/>
    <w:p>
      <w:pPr>
        <w:numPr>
          <w:ilvl w:val="2"/>
          <w:numId w:val="1004"/>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 Template in Compliance Guide §Operator Obligations.</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31"/>
    <w:bookmarkEnd w:id="32"/>
    <w:bookmarkStart w:id="33" w:name="residual-risk-value-transfer"/>
    <w:p>
      <w:pPr>
        <w:numPr>
          <w:ilvl w:val="1"/>
          <w:numId w:val="1004"/>
        </w:numPr>
        <w:pStyle w:val="Heading3"/>
      </w:pPr>
      <w:r>
        <w:t xml:space="preserve">Residual Risk Assessment</w:t>
      </w:r>
    </w:p>
    <w:p>
      <w:pPr>
        <w:pStyle w:val="FirstParagraph"/>
      </w:pPr>
      <w:r>
        <w:t xml:space="preserve">The residual scores below assume the core Shyware twin-kernel controls are implemented and evidence-linked. The software evidence for the core kernel may be complete while financial-regulatory, payment/settlement, fraud, dispute, wallet/account, or lawful-reporting choices still need to be fixed for this domain. These scores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34"/>
        <w:gridCol w:w="3463"/>
        <w:gridCol w:w="749"/>
        <w:gridCol w:w="749"/>
        <w:gridCol w:w="749"/>
        <w:gridCol w:w="1217"/>
      </w:tblGrid>
      <w:tr>
        <w:trPr>
          <w:tblHeader w:val="on"/>
        </w:trPr>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AML/sanctions reporting failure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KYC/KYB review, sanctions controls, reporting policy, and audit logs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conditional on regulated-reporting review</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 transfer exposure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Payment minimization, tokenization, retention limits, and access controls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payment/settlement posture</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Fraud or dispute handling overreach</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Typed adverse actions, human review, audit logs, and appeal workflow</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dispute and adverse-action controls</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Wallet/account linkability</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Scoped commitments, wallet minimization, and provider partitioning</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wallet/account model</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for KYC/KYB, payment, sanctions/fraud, linkage, reconcile, commit, and telemetry roles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reconstruct linkage alone</w:t>
            </w:r>
          </w:p>
        </w:tc>
      </w:tr>
    </w:tbl>
    <w:bookmarkEnd w:id="33"/>
    <w:bookmarkEnd w:id="34"/>
    <w:bookmarkStart w:id="35" w:name="interested-parties-value-transfer"/>
    <w:p>
      <w:pPr>
        <w:numPr>
          <w:ilvl w:val="0"/>
          <w:numId w:val="1004"/>
        </w:numPr>
        <w:pStyle w:val="Heading2"/>
      </w:pPr>
      <w:r>
        <w:t xml:space="preserve">INVOLVEMENT OF INTERESTED PARTIES</w:t>
      </w:r>
    </w:p>
    <w:p>
      <w:pPr>
        <w:pStyle w:val="FirstParagraph"/>
      </w:pPr>
      <w:r>
        <w:t xml:space="preserve">Privacy counsel, financial-regulatory counsel, payment/settlement stakeholders, fraud/compliance teams, security, and customer DPO teams should review this DPIA before production. Data subject or customer representative consultation may be appropriate where consumer transfers, adverse action, or dispute outcomes are material.</w:t>
      </w:r>
    </w:p>
    <w:bookmarkEnd w:id="35"/>
    <w:bookmarkStart w:id="36" w:name="conclusion-value-transfer"/>
    <w:p>
      <w:pPr>
        <w:numPr>
          <w:ilvl w:val="0"/>
          <w:numId w:val="1004"/>
        </w:numPr>
        <w:pStyle w:val="Heading2"/>
      </w:pPr>
      <w:r>
        <w:t xml:space="preserve">CONCLUSION AND DECISION</w:t>
      </w:r>
    </w:p>
    <w:p>
      <w:pPr>
        <w:pStyle w:val="FirstParagraph"/>
      </w:pPr>
      <w:r>
        <w:rPr>
          <w:b/>
          <w:bCs/>
        </w:rPr>
        <w:t xml:space="preserve">Draft decision:</w:t>
      </w:r>
      <w:r>
        <w:t xml:space="preserve"> </w:t>
      </w:r>
      <w:r>
        <w:t xml:space="preserve">Separate DPIA and financial-regulatory review required before launch.</w:t>
      </w:r>
    </w:p>
    <w:bookmarkEnd w:id="36"/>
    <w:bookmarkStart w:id="40" w:name="annexes-wire"/>
    <w:p>
      <w:pPr>
        <w:pStyle w:val="Heading1"/>
      </w:pPr>
      <w:r>
        <w:t xml:space="preserve">Regulatory and Deployment Context Annexes</w:t>
      </w:r>
    </w:p>
    <w:bookmarkStart w:id="37" w:name="annex-a-wire"/>
    <w:p>
      <w:pPr>
        <w:numPr>
          <w:ilvl w:val="0"/>
          <w:numId w:val="1004"/>
        </w:numPr>
        <w:pStyle w:val="Heading2"/>
      </w:pPr>
      <w:r>
        <w:t xml:space="preserve">Annex A — Deployment Context Variants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98"/>
        <w:gridCol w:w="2059"/>
        <w:gridCol w:w="2434"/>
        <w:gridCol w:w="3370"/>
      </w:tblGrid>
      <w:tr>
        <w:trPr>
          <w:tblHeader w:val="on"/>
        </w:trPr>
        <w:tc>
          <w:tcPr>
            <w:tcW w:type="pct" w:w="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Deployment context</w:t>
            </w:r>
          </w:p>
        </w:tc>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Elevated risk</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Regulatory trigger</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requirement</w:t>
            </w:r>
          </w:p>
        </w:tc>
      </w:tr>
      <w:tr>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Stablecoin transfers (Circle USDC)</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OFAC sanctions exposure; AML transaction monitoring</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FinCEN BSA; OFAC SDN list; EU AMLD6; FATF Travel Rule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Issuer reconcile authority (Circle read-only) required for AML/OFAC compliance; Travel Rule metadata for transfers above $3,000 (US) / €1,000 (EU)</w:t>
            </w:r>
          </w:p>
        </w:tc>
      </w:tr>
      <w:tr>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Cross-border remittances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FATF Travel Rule: originator and beneficiary information must accompany transfers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FATF Recommendation 16; EU Transfer of Funds Regulation (TFR) 2023</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TFR requires originator IBAN/name and beneficiary IBAN/name to travel with transfers; shywire’s structural anonymity applies at the canonical layer; TFR data must be preserved in the reconciling authority and disclosed to obligated entities</w:t>
            </w:r>
          </w:p>
        </w:tc>
      </w:tr>
      <w:tr>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Consumer money transfers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Consumer protection; dispute resolution; chargeback rights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EU Payment Services Directive 2 (PSD2); US Regulation E (Electronic Fund Transfer Act); CFPB remittance rules</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Error resolution process required; 30-day dispute window; disclosure of transfer fees and exchange rates before initiation</w:t>
            </w:r>
          </w:p>
        </w:tc>
      </w:tr>
      <w:tr>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B2B commercial payments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KYB (know your business) requirements; sanctions screening at entity level</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FinCEN CDD Rule (beneficial ownership); EU AMLD5 beneficial ownership register</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UBO verification before account creation; entity-level sanctions screening; transaction monitoring for structuring patterns</w:t>
            </w:r>
          </w:p>
        </w:tc>
      </w:tr>
    </w:tbl>
    <w:bookmarkEnd w:id="37"/>
    <w:bookmarkStart w:id="38" w:name="annex-b-wire"/>
    <w:p>
      <w:pPr>
        <w:numPr>
          <w:ilvl w:val="0"/>
          <w:numId w:val="1004"/>
        </w:numPr>
        <w:pStyle w:val="Heading2"/>
      </w:pPr>
      <w:r>
        <w:t xml:space="preserve">Annex B — AML/CFT and FATF Travel Rule</w:t>
      </w:r>
    </w:p>
    <w:p>
      <w:pPr>
        <w:pStyle w:val="FirstParagraph"/>
      </w:pPr>
      <w:r>
        <w:t xml:space="preserve">shywire-v1’s structural anonymity at the canonical layer is compatible with AML/CFT compliance only because the issuer (Circle or equivalent) retains</w:t>
      </w:r>
      <w:r>
        <w:t xml:space="preserve"> </w:t>
      </w:r>
      <w:r>
        <w:rPr>
          <w:rStyle w:val="VerbatimChar"/>
        </w:rPr>
        <w:t xml:space="preserve">reconcile_authority: issuer_read_only</w:t>
      </w:r>
      <w:r>
        <w:t xml:space="preserve"> </w:t>
      </w:r>
      <w:r>
        <w:t xml:space="preserve">access to the off-chain linkage store. This design deliberately preserves the regulatory surveillance capability required by FATF Recommendations 10 and 16:</w:t>
      </w:r>
    </w:p>
    <w:p>
      <w:pPr>
        <w:numPr>
          <w:ilvl w:val="0"/>
          <w:numId w:val="1002"/>
        </w:numPr>
      </w:pPr>
      <w:r>
        <w:rPr>
          <w:b/>
          <w:bCs/>
        </w:rPr>
        <w:t xml:space="preserve">FATF Travel Rule (R. 16):</w:t>
      </w:r>
      <w:r>
        <w:t xml:space="preserve"> </w:t>
      </w:r>
      <w:r>
        <w:t xml:space="preserve">Originator and beneficiary information must</w:t>
      </w:r>
      <w:r>
        <w:t xml:space="preserve"> </w:t>
      </w:r>
      <w:r>
        <w:t xml:space="preserve">“travel”</w:t>
      </w:r>
      <w:r>
        <w:t xml:space="preserve"> </w:t>
      </w:r>
      <w:r>
        <w:t xml:space="preserve">with virtual asset transfers above the threshold. In the shywire architecture, this information is in the reconciling authority’s off-chain store (not in canonical state). The issuer’s read-only access to the reconciling authority satisfies R. 16 if the issuer is itself a registered VASP and has entered Travel Rule data-sharing arrangements with counterparty VASPs.</w:t>
      </w:r>
    </w:p>
    <w:p>
      <w:pPr>
        <w:numPr>
          <w:ilvl w:val="0"/>
          <w:numId w:val="1002"/>
        </w:numPr>
      </w:pPr>
      <w:r>
        <w:rPr>
          <w:b/>
          <w:bCs/>
        </w:rPr>
        <w:t xml:space="preserve">EU Transfer of Funds Regulation (TFR, 2023):</w:t>
      </w:r>
      <w:r>
        <w:t xml:space="preserve"> </w:t>
      </w:r>
      <w:r>
        <w:t xml:space="preserve">Applies to crypto-asset transfers from 2024. Requires PSPs/CASPs to collect and transmit payer and payee information. shywire’s off-chain linkage store holds this data; the issuer reconcile authority can extract it for TFR compliance purposes.</w:t>
      </w:r>
    </w:p>
    <w:p>
      <w:pPr>
        <w:numPr>
          <w:ilvl w:val="0"/>
          <w:numId w:val="1002"/>
        </w:numPr>
      </w:pPr>
      <w:r>
        <w:rPr>
          <w:b/>
          <w:bCs/>
        </w:rPr>
        <w:t xml:space="preserve">US Bank Secrecy Act / FinCEN:</w:t>
      </w:r>
      <w:r>
        <w:t xml:space="preserve"> </w:t>
      </w:r>
      <w:r>
        <w:t xml:space="preserve">Money Services Businesses (MSBs) must register with FinCEN and implement AML programs. If the operator is an MSB, the shywire reconciling authority must support SAR and CTR filing capability.</w:t>
      </w:r>
    </w:p>
    <w:bookmarkEnd w:id="38"/>
    <w:bookmarkStart w:id="39" w:name="annex-c-wire"/>
    <w:p>
      <w:pPr>
        <w:numPr>
          <w:ilvl w:val="0"/>
          <w:numId w:val="1004"/>
        </w:numPr>
        <w:pStyle w:val="Heading2"/>
      </w:pPr>
      <w:r>
        <w:t xml:space="preserve">Annex C — Money Transmitter Licensing</w:t>
      </w:r>
    </w:p>
    <w:p>
      <w:pPr>
        <w:numPr>
          <w:ilvl w:val="0"/>
          <w:numId w:val="1003"/>
        </w:numPr>
      </w:pPr>
      <w:r>
        <w:rPr>
          <w:b/>
          <w:bCs/>
        </w:rPr>
        <w:t xml:space="preserve">United States:</w:t>
      </w:r>
      <w:r>
        <w:t xml:space="preserve"> </w:t>
      </w:r>
      <w:r>
        <w:t xml:space="preserve">Money transmission is regulated at the state level. 49 states require a money transmitter licence (MTL) or equivalent for businesses that transmit money on behalf of others. Operating shywire as a consumer-facing transfer service without state MTLs is an enforcement risk.</w:t>
      </w:r>
      <w:r>
        <w:t xml:space="preserve"> </w:t>
      </w:r>
      <w:r>
        <w:rPr>
          <w:i/>
          <w:iCs/>
        </w:rPr>
        <w:t xml:space="preserve">Stablecoin wrapper mode</w:t>
      </w:r>
      <w:r>
        <w:t xml:space="preserve"> </w:t>
      </w:r>
      <w:r>
        <w:t xml:space="preserve">(</w:t>
      </w:r>
      <w:r>
        <w:rPr>
          <w:rStyle w:val="VerbatimChar"/>
        </w:rPr>
        <w:t xml:space="preserve">provider: circle_usdc</w:t>
      </w:r>
      <w:r>
        <w:t xml:space="preserve">) with Circle as the licensed issuer may exempt the operator from MTL requirements if Circle’s licence coverage applies — counsel review required per state.</w:t>
      </w:r>
    </w:p>
    <w:p>
      <w:pPr>
        <w:numPr>
          <w:ilvl w:val="0"/>
          <w:numId w:val="1003"/>
        </w:numPr>
      </w:pPr>
      <w:r>
        <w:rPr>
          <w:b/>
          <w:bCs/>
        </w:rPr>
        <w:t xml:space="preserve">European Union:</w:t>
      </w:r>
      <w:r>
        <w:t xml:space="preserve"> </w:t>
      </w:r>
      <w:r>
        <w:t xml:space="preserve">Payment Institution (PI) or Electronic Money Institution (EMI) licence required under PSD2 for payment services. MiCA licence required for issuance of asset-referenced or e-money tokens.</w:t>
      </w:r>
    </w:p>
    <w:p>
      <w:pPr>
        <w:numPr>
          <w:ilvl w:val="0"/>
          <w:numId w:val="1003"/>
        </w:numPr>
      </w:pPr>
      <w:r>
        <w:rPr>
          <w:b/>
          <w:bCs/>
        </w:rPr>
        <w:t xml:space="preserve">UK:</w:t>
      </w:r>
      <w:r>
        <w:t xml:space="preserve"> </w:t>
      </w:r>
      <w:r>
        <w:t xml:space="preserve">FCA registration as an EMD Agent or PI Authorisation; cryptoasset registration under the MLRs.</w:t>
      </w:r>
    </w:p>
    <w:bookmarkEnd w:id="39"/>
    <w:bookmarkEnd w:id="40"/>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1"/>
  </w:num>
  <w:num w:numId="1004">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2026-05-24T18:51:51Z</dcterms:created>
  <dcterms:modified xsi:type="dcterms:W3CDTF">2026-05-24T18:51:51Z</dcterms:modified>
</cp:coreProperties>
</file>

<file path=docProps/custom.xml><?xml version="1.0" encoding="utf-8"?>
<Properties xmlns="http://schemas.openxmlformats.org/officeDocument/2006/custom-properties" xmlns:vt="http://schemas.openxmlformats.org/officeDocument/2006/docPropsVTypes"/>
</file>