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FirstParagraph"/>
      </w:pPr>
      <w:r>
        <w:t xml:space="preserve">DPIA — Shyware Betting and Markets</w:t>
      </w:r>
    </w:p>
    <w:p>
      <w:r>
        <w:pict>
          <v:rect style="width:0;height:1.5pt" o:hralign="center" o:hrstd="t" o:hr="t"/>
        </w:pict>
      </w:r>
    </w:p>
    <w:bookmarkStart w:id="20" w:name="overview-betting-markets"/>
    <w:p>
      <w:pPr>
        <w:pStyle w:val="Heading2"/>
      </w:pPr>
      <w:r>
        <w:t xml:space="preserve">OVERVIEW OF THE PROCESSING</w:t>
      </w:r>
    </w:p>
    <w:bookmarkStart w:id="18" w:name="controllers-betting-markets"/>
    <w:p>
      <w:pPr>
        <w:pStyle w:val="Heading3"/>
      </w:pPr>
      <w:r>
        <w:t xml:space="preserve">Controller(s)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Operator of betting, market, prediction, trading, or sportsbook-style deployment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DPO or similar function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Controller DPO or privacy contact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Repository evidence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betsClient.js</w:t>
            </w:r>
            <w:r>
              <w:t xml:space="preserve">; shybets manifest;</w:t>
            </w:r>
            <w:r>
              <w:t xml:space="preserve"> </w:t>
            </w:r>
            <w:r>
              <w:rPr>
                <w:rStyle w:val="VerbatimChar"/>
              </w:rPr>
              <w:t xml:space="preserve">patent/mainhub/dpia/evidence_index.md</w:t>
            </w:r>
          </w:p>
        </w:tc>
      </w:tr>
    </w:tbl>
    <w:bookmarkEnd w:id="18"/>
    <w:bookmarkStart w:id="19" w:name="name-betting-markets"/>
    <w:p>
      <w:pPr>
        <w:pStyle w:val="Heading3"/>
      </w:pPr>
      <w:r>
        <w:t xml:space="preserve">Name of the Processing</w:t>
      </w:r>
    </w:p>
    <w:p>
      <w:pPr>
        <w:pStyle w:val="FirstParagraph"/>
      </w:pPr>
      <w:r>
        <w:rPr>
          <w:b/>
          <w:bCs/>
        </w:rPr>
        <w:t xml:space="preserve">Internal name:</w:t>
      </w:r>
      <w:r>
        <w:t xml:space="preserve"> </w:t>
      </w:r>
      <w:r>
        <w:t xml:space="preserve">Shyware Betting / Markets DPIA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systematic-description-betting-markets"/>
    <w:p>
      <w:pPr>
        <w:numPr>
          <w:ilvl w:val="0"/>
          <w:numId w:val="1002"/>
        </w:numPr>
        <w:pStyle w:val="Heading2"/>
      </w:pPr>
      <w:r>
        <w:t xml:space="preserve">SYSTEMATIC DESCRIPTION OF THE PROCESSING</w:t>
      </w:r>
    </w:p>
    <w:bookmarkStart w:id="23" w:name="high-level-betting-markets"/>
    <w:p>
      <w:pPr>
        <w:numPr>
          <w:ilvl w:val="1"/>
          <w:numId w:val="1002"/>
        </w:numPr>
        <w:pStyle w:val="Heading3"/>
      </w:pPr>
      <w:r>
        <w:t xml:space="preserve">High-level Description of the Processing</w:t>
      </w:r>
    </w:p>
    <w:bookmarkStart w:id="21" w:name="processed-data-betting-markets"/>
    <w:p>
      <w:pPr>
        <w:numPr>
          <w:ilvl w:val="2"/>
          <w:numId w:val="1002"/>
        </w:numPr>
        <w:pStyle w:val="Heading4"/>
      </w:pPr>
      <w:r>
        <w:t xml:space="preserve">Processed Personal Data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49"/>
        <w:gridCol w:w="2902"/>
        <w:gridCol w:w="2340"/>
        <w:gridCol w:w="3370"/>
      </w:tblGrid>
      <w:tr>
        <w:trPr>
          <w:tblHeader w:val="on"/>
        </w:trP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Personal Data Item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 Type / Data Subject Category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Sensitivity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Market/bet order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Event, side, stake, odds, timestamp, account commitment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Financial/behavioral high-risk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Eligibility/age/location status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Age, jurisdiction, geofence, exclusion status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Wallet/payment data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Account, payment, settlement, withdrawal metadata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Financial high-risk</w:t>
            </w:r>
          </w:p>
        </w:tc>
      </w:tr>
      <w:tr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Risk and responsible-gaming data</w:t>
            </w:r>
          </w:p>
        </w:tc>
        <w:tc>
          <w:tcPr>
            <w:tcW w:type="pct" w:w="12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Fraud, abuse, self-exclusion, limit signals</w:t>
            </w:r>
          </w:p>
        </w:tc>
        <w:tc>
          <w:tcPr>
            <w:tcW w:type="pct" w:w="18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21"/>
    <w:bookmarkStart w:id="22" w:name="purposes-betting-markets"/>
    <w:p>
      <w:pPr>
        <w:numPr>
          <w:ilvl w:val="2"/>
          <w:numId w:val="1002"/>
        </w:numPr>
        <w:pStyle w:val="Heading4"/>
      </w:pPr>
      <w:r>
        <w:t xml:space="preserve">Purposes of the Processing</w:t>
      </w:r>
    </w:p>
    <w:p>
      <w:pPr>
        <w:pStyle w:val="FirstParagraph"/>
      </w:pPr>
      <w:r>
        <w:t xml:space="preserve">Support market order entry, settlement, eligibility, responsible-gaming controls, fraud prevention, and audit.</w:t>
      </w:r>
    </w:p>
    <w:bookmarkEnd w:id="22"/>
    <w:bookmarkEnd w:id="23"/>
    <w:bookmarkEnd w:id="24"/>
    <w:bookmarkStart w:id="28" w:name="analysis-betting-markets"/>
    <w:p>
      <w:pPr>
        <w:numPr>
          <w:ilvl w:val="0"/>
          <w:numId w:val="1002"/>
        </w:numPr>
        <w:pStyle w:val="Heading2"/>
      </w:pPr>
      <w:r>
        <w:t xml:space="preserve">ANALYSIS OF THE PROCESSING</w:t>
      </w:r>
    </w:p>
    <w:bookmarkStart w:id="25" w:name="lawfulness-betting-markets"/>
    <w:p>
      <w:pPr>
        <w:numPr>
          <w:ilvl w:val="1"/>
          <w:numId w:val="1002"/>
        </w:numPr>
        <w:pStyle w:val="Heading3"/>
      </w:pPr>
      <w:r>
        <w:t xml:space="preserve">Lawfulness and Minimisation</w:t>
      </w:r>
    </w:p>
    <w:p>
      <w:pPr>
        <w:pStyle w:val="FirstParagraph"/>
      </w:pPr>
      <w:r>
        <w:t xml:space="preserve">Customer controllers must assess gambling, market, payments, age-gating, geolocation, self-exclusion, and consumer-protection obligations. Shyware should not launch this domain without product-specific regulatory counsel.</w:t>
      </w:r>
    </w:p>
    <w:bookmarkEnd w:id="25"/>
    <w:bookmarkStart w:id="27" w:name="patent-alignment-betting-markets"/>
    <w:p>
      <w:pPr>
        <w:numPr>
          <w:ilvl w:val="1"/>
          <w:numId w:val="1002"/>
        </w:numPr>
        <w:pStyle w:val="Heading3"/>
      </w:pPr>
      <w:r>
        <w:t xml:space="preserve">Mainhub Patent Alignment</w:t>
      </w:r>
    </w:p>
    <w:p>
      <w:pPr>
        <w:pStyle w:val="FirstParagraph"/>
      </w:pPr>
      <w:r>
        <w:t xml:space="preserve">The Mainhub patent architecture can reduce canonical-state linkage between account commitments and market/bet records. It does not replace age verification, geolocation, self-exclusion, responsible-gaming monitoring, market-integrity records, payment controls, or gambling-law compliance. Betting deployments should not rely on canonical-state unlinkability as a substitute for regulated operator obligations.</w:t>
      </w:r>
    </w:p>
    <w:bookmarkStart w:id="26" w:name="authority-partition-betting-markets"/>
    <w:p>
      <w:pPr>
        <w:numPr>
          <w:ilvl w:val="2"/>
          <w:numId w:val="1002"/>
        </w:numPr>
        <w:pStyle w:val="Heading4"/>
      </w:pPr>
      <w:r>
        <w:t xml:space="preserve">Authority Partition</w:t>
      </w:r>
    </w:p>
    <w:p>
      <w:pPr>
        <w:pStyle w:val="FirstParagraph"/>
      </w:pPr>
      <w:r>
        <w:t xml:space="preserve">This is a count-match embodiment. Four structurally separated parties are required: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778"/>
        <w:gridCol w:w="3276"/>
        <w:gridCol w:w="4306"/>
      </w:tblGrid>
      <w:tr>
        <w:trPr>
          <w:tblHeader w:val="on"/>
        </w:trP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Authority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Structural Constraint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Auth (Cognito)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layer; always required; gates access to IDV/KYC stage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Cannot write canonical records; no linkage data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IDV/KYC (Didit)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Verifies user identity on authenticated users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Cannot access sealer, linkage store, or authorize canonical actions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Market administrator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Determines domain eligibility; registered independently at scoping-identifier creation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Delete-only on canonical state; requires reconciling co-signature to execute rescission; every rescission is append-only in canonical state and never deletable</w:t>
            </w:r>
          </w:p>
        </w:tc>
      </w:tr>
      <w:tr>
        <w:tc>
          <w:tcPr>
            <w:tcW w:type="pct" w:w="9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authority</w:t>
            </w:r>
          </w:p>
        </w:tc>
        <w:tc>
          <w:tcPr>
            <w:tcW w:type="pct" w:w="17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store + sealer keys</w:t>
            </w:r>
          </w:p>
        </w:tc>
        <w:tc>
          <w:tcPr>
            <w:tcW w:type="pct" w:w="2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eligibility co-signature for any rescission; cannot forge identity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Dual co-authorization enforcement (Claim 2):</w:t>
      </w:r>
      <w:r>
        <w:t xml:space="preserve"> </w:t>
      </w:r>
      <w:r>
        <w:t xml:space="preserve">The validation layer must reject single-signature rescission transactions.</w:t>
      </w:r>
      <w:r>
        <w:t xml:space="preserve"> </w:t>
      </w:r>
      <w:r>
        <w:rPr>
          <w:b/>
          <w:bCs/>
          <w:i/>
          <w:iCs/>
        </w:rPr>
        <w:t xml:space="preserve">VERIFIED (run 26421919030):</w:t>
      </w:r>
      <w:r>
        <w:rPr>
          <w:i/>
          <w:iCs/>
        </w:rPr>
        <w:t xml:space="preserve"> </w:t>
      </w:r>
      <w:r>
        <w:rPr>
          <w:i/>
          <w:iCs/>
        </w:rPr>
        <w:t xml:space="preserve">DUAL_COSIG section passes 385/385 — unauthenticated + valid token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401; authenticated + no token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400; both co-signatures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200.</w:t>
      </w:r>
    </w:p>
    <w:bookmarkEnd w:id="26"/>
    <w:bookmarkEnd w:id="27"/>
    <w:bookmarkEnd w:id="28"/>
    <w:bookmarkStart w:id="29" w:name="necessity-betting-markets"/>
    <w:p>
      <w:pPr>
        <w:numPr>
          <w:ilvl w:val="0"/>
          <w:numId w:val="1002"/>
        </w:numPr>
        <w:pStyle w:val="Heading2"/>
      </w:pPr>
      <w:r>
        <w:t xml:space="preserve">CONSIDERATIONS ON NECESSITY AND PROPORTIONALITY</w:t>
      </w:r>
    </w:p>
    <w:p>
      <w:pPr>
        <w:pStyle w:val="FirstParagraph"/>
      </w:pPr>
      <w:r>
        <w:t xml:space="preserve">The betting and markets pattern may be proportionate only where the controller has a regulated basis for eligibility, payments, responsible-gaming controls, and market-integrity monitoring. Protected linkage and reveal workflows should be limited to legally required compliance, dispute, fraud, or user-requested recovery purposes. A controller should disable this domain until jurisdiction, age/location eligibility, payment flow, retention, and responsible-gaming duties are fixed.</w:t>
      </w:r>
    </w:p>
    <w:bookmarkEnd w:id="29"/>
    <w:bookmarkStart w:id="33" w:name="risk-betting-markets"/>
    <w:p>
      <w:pPr>
        <w:numPr>
          <w:ilvl w:val="0"/>
          <w:numId w:val="1002"/>
        </w:numPr>
        <w:pStyle w:val="Heading2"/>
      </w:pPr>
      <w:r>
        <w:t xml:space="preserve">RISK ASSESSMENT AND MANAGEMENT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936"/>
        <w:gridCol w:w="3744"/>
        <w:gridCol w:w="4680"/>
      </w:tblGrid>
      <w:tr>
        <w:trPr>
          <w:tblHeader w:val="on"/>
        </w:trP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Required Follow-up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Gambling/financial profiling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Minimize account-event linkage and retention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Ineligible user participation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Verify age, location, exclusion, and jurisdiction controls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Harmful behavior detection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Define responsible-gaming signals and controller duties</w:t>
            </w:r>
          </w:p>
        </w:tc>
      </w:tr>
      <w:tr>
        <w:tc>
          <w:tcPr>
            <w:tcW w:type="pct" w:w="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20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Payment/settlement exposure</w:t>
            </w:r>
          </w:p>
        </w:tc>
        <w:tc>
          <w:tcPr>
            <w:tcW w:type="pct" w:w="2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Assess payment processor role and transfer posture</w:t>
            </w:r>
          </w:p>
        </w:tc>
      </w:tr>
    </w:tbl>
    <w:bookmarkStart w:id="31" w:name="dpia-audit-betting-markets"/>
    <w:p>
      <w:pPr>
        <w:numPr>
          <w:ilvl w:val="1"/>
          <w:numId w:val="1002"/>
        </w:numPr>
        <w:pStyle w:val="Heading3"/>
      </w:pPr>
      <w:r>
        <w:t xml:space="preserve">DPIA Audit Findings</w:t>
      </w:r>
    </w:p>
    <w:p>
      <w:pPr>
        <w:pStyle w:val="FirstParagraph"/>
      </w:pPr>
      <w:r>
        <w:t xml:space="preserve">This DPIA is the audit record for betting and market deployments. Before production, the DPIA must identify the provider partition across age/location verification, payment or wallet provider, protected linkage store, reconciling authority, canonical commit authority, and telemetry/support providers. Canonical-state unlinkability does not reduce the need for gambling-law compliance, responsible-gaming monitoring, sanctions/payment controls, or market-integrity records. The software evidence for the core kernel may be complete while the controller still needs to fix jurisdiction, eligibility, recovery/reveal posture, retention, and payment settlement flows for this domain.</w:t>
      </w:r>
    </w:p>
    <w:bookmarkStart w:id="30" w:name="compliance-instructions-betting-markets"/>
    <w:p>
      <w:pPr>
        <w:numPr>
          <w:ilvl w:val="2"/>
          <w:numId w:val="1002"/>
        </w:numPr>
        <w:pStyle w:val="Heading4"/>
      </w:pPr>
      <w:r>
        <w:t xml:space="preserve">Operator Compliance Instructions</w:t>
      </w:r>
    </w:p>
    <w:p>
      <w:pPr>
        <w:pStyle w:val="FirstParagraph"/>
      </w:pPr>
      <w:r>
        <w:t xml:space="preserve">For the non-code governance residuals identified in this DPIA, the operator is instructed by the</w:t>
      </w:r>
      <w:r>
        <w:t xml:space="preserve"> </w:t>
      </w:r>
      <w:r>
        <w:rPr>
          <w:b/>
          <w:bCs/>
        </w:rPr>
        <w:t xml:space="preserve">Shyware SDK Compliance Guide</w:t>
      </w:r>
      <w:r>
        <w:t xml:space="preserve"> </w:t>
      </w:r>
      <w:r>
        <w:t xml:space="preserve">(</w:t>
      </w:r>
      <w:r>
        <w:rPr>
          <w:rStyle w:val="VerbatimChar"/>
        </w:rPr>
        <w:t xml:space="preserve">patent/mainhub/dpia/source/COMPLIANCE_GUIDE.tex</w:t>
      </w:r>
      <w:r>
        <w:t xml:space="preserve">; published at</w:t>
      </w:r>
      <w:r>
        <w:t xml:space="preserve"> </w:t>
      </w:r>
      <w:r>
        <w:rPr>
          <w:rStyle w:val="VerbatimChar"/>
        </w:rPr>
        <w:t xml:space="preserve">https://shyware.fyi/legal</w:t>
      </w:r>
      <w:r>
        <w:t xml:space="preserve">). Key operator obligations: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6 lawfulness basis</w:t>
      </w:r>
      <w:r>
        <w:t xml:space="preserve"> </w:t>
      </w:r>
      <w:r>
        <w:t xml:space="preserve">— Identify and document the legal basis for each processing purpose before production.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28 sub-processor DPAs</w:t>
      </w:r>
      <w:r>
        <w:t xml:space="preserve"> </w:t>
      </w:r>
      <w:r>
        <w:t xml:space="preserve">— Execute signed DPAs with all subprocessors listed in the generated Records of Processing (</w:t>
      </w:r>
      <w:r>
        <w:rPr>
          <w:rStyle w:val="VerbatimChar"/>
        </w:rPr>
        <w:t xml:space="preserve">node scripts/generate-rop.mjs --config shyconfig.json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30 Records of Processing</w:t>
      </w:r>
      <w:r>
        <w:t xml:space="preserve"> </w:t>
      </w:r>
      <w:r>
        <w:t xml:space="preserve">— Generate from shyconfig using</w:t>
      </w:r>
      <w:r>
        <w:t xml:space="preserve"> </w:t>
      </w:r>
      <w:r>
        <w:rPr>
          <w:rStyle w:val="VerbatimChar"/>
        </w:rPr>
        <w:t xml:space="preserve">generate-rop.mjs</w:t>
      </w:r>
      <w:r>
        <w:t xml:space="preserve">; complete all</w:t>
      </w:r>
      <w:r>
        <w:t xml:space="preserve"> </w:t>
      </w:r>
      <w:r>
        <w:rPr>
          <w:rStyle w:val="VerbatimChar"/>
        </w:rPr>
        <w:t xml:space="preserve">REQUIRED_OPERATOR_INPUT</w:t>
      </w:r>
      <w:r>
        <w:t xml:space="preserve"> </w:t>
      </w:r>
      <w:r>
        <w:t xml:space="preserve">fields; maintain under Art. 30(1).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Storage limitation (Art. 5(1)(e))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 </w:t>
      </w:r>
      <w:r>
        <w:t xml:space="preserve">block to shyconfig.json; configure and operationally enforce the</w:t>
      </w:r>
      <w:r>
        <w:t xml:space="preserve"> </w:t>
      </w:r>
      <w:r>
        <w:rPr>
          <w:rStyle w:val="VerbatimChar"/>
        </w:rPr>
        <w:t xml:space="preserve">deletion_cron</w:t>
      </w:r>
      <w:r>
        <w:t xml:space="preserve"> </w:t>
      </w:r>
      <w:r>
        <w:t xml:space="preserve">schedule.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Three-authority key independence</w:t>
      </w:r>
      <w:r>
        <w:t xml:space="preserve"> </w:t>
      </w:r>
      <w:r>
        <w:t xml:space="preserve">— Verify at scoping-identifier creation that eligibility_authority_key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reconciling_authority_key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auth_key.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Quarterly independent audit</w:t>
      </w:r>
      <w:r>
        <w:t xml:space="preserve"> </w:t>
      </w:r>
      <w:r>
        <w:t xml:space="preserve">— Engage an independent auditor to verify three-authority operational separation before production.</w:t>
      </w:r>
    </w:p>
    <w:bookmarkEnd w:id="30"/>
    <w:bookmarkEnd w:id="31"/>
    <w:bookmarkStart w:id="32" w:name="residual-risk-betting-markets"/>
    <w:p>
      <w:pPr>
        <w:numPr>
          <w:ilvl w:val="1"/>
          <w:numId w:val="1002"/>
        </w:numPr>
        <w:pStyle w:val="Heading3"/>
      </w:pPr>
      <w:r>
        <w:t xml:space="preserve">Residual Risk Assessment</w:t>
      </w:r>
    </w:p>
    <w:p>
      <w:pPr>
        <w:pStyle w:val="FirstParagraph"/>
      </w:pPr>
      <w:r>
        <w:t xml:space="preserve">The residual scores below assume the core Shyware twin-kernel controls are implemented and evidence-linked. The software evidence for the core kernel may be complete while betting/market regulatory, responsible-gaming, payment, eligibility, or operator-policy choices still need to be fixed for this domain. These scores describe residual domain risk after validation; they do not say the kernel tests were missing.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434"/>
        <w:gridCol w:w="3463"/>
        <w:gridCol w:w="749"/>
        <w:gridCol w:w="749"/>
        <w:gridCol w:w="749"/>
        <w:gridCol w:w="1217"/>
      </w:tblGrid>
      <w:tr>
        <w:trPr>
          <w:tblHeader w:val="on"/>
        </w:trP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Additional Measures Applied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Likelihood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Severity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Residual Level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Acceptable?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Gambling or financial profiling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Account-event minimization, retention limits, and restricted analytics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operator policy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Ineligible user participation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Age, location, exclusion, and jurisdiction checks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only with regulatory evidence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Responsible-gaming failure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Harm signals, limits, self-exclusion, and controller intervention process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regulated operating model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Payment or settlement exposure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Payment processor review, tokenization, and transfer controls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Requires payment posture</w:t>
            </w:r>
          </w:p>
        </w:tc>
      </w:tr>
      <w:tr>
        <w:tc>
          <w:tcPr>
            <w:tcW w:type="pct" w:w="13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Provider consolidation</w:t>
            </w:r>
          </w:p>
        </w:tc>
        <w:tc>
          <w:tcPr>
            <w:tcW w:type="pct" w:w="18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Provider matrix for eligibility, payment/wallet, linkage, reconcile, commit, and telemetry roles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pct" w:w="6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Yes only where no ordinary single provider can reconstruct linkage alone</w:t>
            </w:r>
          </w:p>
        </w:tc>
      </w:tr>
    </w:tbl>
    <w:bookmarkEnd w:id="32"/>
    <w:bookmarkEnd w:id="33"/>
    <w:bookmarkStart w:id="34" w:name="interested-parties-betting-markets"/>
    <w:p>
      <w:pPr>
        <w:numPr>
          <w:ilvl w:val="0"/>
          <w:numId w:val="1002"/>
        </w:numPr>
        <w:pStyle w:val="Heading2"/>
      </w:pPr>
      <w:r>
        <w:t xml:space="preserve">INVOLVEMENT OF INTERESTED PARTIES</w:t>
      </w:r>
    </w:p>
    <w:p>
      <w:pPr>
        <w:pStyle w:val="FirstParagraph"/>
      </w:pPr>
      <w:r>
        <w:t xml:space="preserve">Privacy counsel, gambling or market regulatory counsel, payment/compliance stakeholders, security, and responsible-gaming stakeholders should review this DPIA before production. Data subject or representative consultation may be appropriate where self-exclusion, vulnerable users, or high-risk consumer-protection duties apply.</w:t>
      </w:r>
    </w:p>
    <w:bookmarkEnd w:id="34"/>
    <w:bookmarkStart w:id="35" w:name="conclusion-betting-markets"/>
    <w:p>
      <w:pPr>
        <w:numPr>
          <w:ilvl w:val="0"/>
          <w:numId w:val="1002"/>
        </w:numPr>
        <w:pStyle w:val="Heading2"/>
      </w:pPr>
      <w:r>
        <w:t xml:space="preserve">CONCLUSION AND DECISION</w:t>
      </w:r>
    </w:p>
    <w:p>
      <w:pPr>
        <w:pStyle w:val="FirstParagraph"/>
      </w:pPr>
      <w:r>
        <w:rPr>
          <w:b/>
          <w:bCs/>
        </w:rPr>
        <w:t xml:space="preserve">Draft decision:</w:t>
      </w:r>
      <w:r>
        <w:t xml:space="preserve"> </w:t>
      </w:r>
      <w:r>
        <w:t xml:space="preserve">Separate DPIA and gambling/market regulatory review required before production.</w:t>
      </w:r>
    </w:p>
    <w:bookmarkEnd w:id="35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Domain DPIA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2026-05-26T07:01:53Z</dcterms:created>
  <dcterms:modified xsi:type="dcterms:W3CDTF">2026-05-26T07:01:53Z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