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m="http://schemas.openxmlformats.org/officeDocument/2006/math" xmlns:o="urn:schemas-microsoft-com:office:office" xmlns:r="http://schemas.openxmlformats.org/officeDocument/2006/relationships" xmlns:v="urn:schemas-microsoft-com:vml" xmlns:w="http://schemas.openxmlformats.org/wordprocessingml/2006/main">
  <w:body>
    <w:p>
      <w:pPr>
        <w:pStyle w:val="FirstParagraph"/>
      </w:pPr>
      <w:r>
        <w:t xml:space="preserve">DPIA — Shyware SDK: Structural Non-Representability for Behavioral</w:t>
      </w:r>
      <w:r>
        <w:t xml:space="preserve"> </w:t>
      </w:r>
      <w:r>
        <w:t xml:space="preserve">Analytics</w:t>
      </w:r>
    </w:p>
    <w:p>
      <w:r>
        <w:pict>
          <v:rect style="width:0;height:1.5pt" o:hralign="center" o:hrstd="t" o:hr="t"/>
        </w:pict>
      </w:r>
    </w:p>
    <w:bookmarkStart w:id="23" w:name="overview-of-the-processing"/>
    <w:p>
      <w:pPr>
        <w:pStyle w:val="Heading2"/>
      </w:pPr>
      <w:r>
        <w:t xml:space="preserve">OVERVIEW OF THE</w:t>
      </w:r>
      <w:r>
        <w:t xml:space="preserve"> </w:t>
      </w:r>
      <w:r>
        <w:t xml:space="preserve">PROCESSING</w:t>
      </w:r>
    </w:p>
    <w:bookmarkStart w:id="18" w:name="controllers"/>
    <w:p>
      <w:pPr>
        <w:pStyle w:val="Heading3"/>
      </w:pPr>
      <w:r>
        <w:t xml:space="preserve">Controller(s)</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808"/>
        <w:gridCol w:w="6552"/>
      </w:tblGrid>
      <w:tr>
        <w:trPr>
          <w:tblHeader w:val="on"/>
        </w:trPr>
        <w:tc>
          <w:tcPr>
            <w:tcW w:type="pct" w:w="150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Field</w:t>
            </w:r>
          </w:p>
        </w:tc>
        <w:tc>
          <w:tcPr>
            <w:tcW w:type="pct" w:w="350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Value</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Controller</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t xml:space="preserve">Analytics vendor controller</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Management units responsible</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t xml:space="preserve">Product Engineering; Legal / Compliance;</w:t>
            </w:r>
            <w:r>
              <w:t xml:space="preserve"> </w:t>
            </w:r>
            <w:r>
              <w:t xml:space="preserve">Data Protection</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Main establishment / point of contact</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t xml:space="preserve">EU main establishment / point of</w:t>
            </w:r>
            <w:r>
              <w:t xml:space="preserve"> </w:t>
            </w:r>
            <w:r>
              <w:t xml:space="preserve">contact</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DPO or similar function</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t xml:space="preserve">DPO or privacy contact</w:t>
            </w:r>
          </w:p>
        </w:tc>
      </w:tr>
    </w:tbl>
    <w:bookmarkEnd w:id="18"/>
    <w:bookmarkStart w:id="19" w:name="processors-and-sub-processors"/>
    <w:p>
      <w:pPr>
        <w:pStyle w:val="Heading3"/>
      </w:pPr>
      <w:r>
        <w:t xml:space="preserve">Processor(s) and</w:t>
      </w:r>
      <w:r>
        <w:t xml:space="preserve"> </w:t>
      </w:r>
      <w:r>
        <w:t xml:space="preserve">Sub-processor(s)</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749"/>
        <w:gridCol w:w="3744"/>
        <w:gridCol w:w="4867"/>
      </w:tblGrid>
      <w:tr>
        <w:trPr>
          <w:tblHeader w:val="on"/>
        </w:trPr>
        <w:tc>
          <w:tcPr>
            <w:tcW w:type="pct" w:w="40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w:t>
            </w:r>
          </w:p>
        </w:tc>
        <w:tc>
          <w:tcPr>
            <w:tcW w:type="pct" w:w="200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Processor</w:t>
            </w:r>
          </w:p>
        </w:tc>
        <w:tc>
          <w:tcPr>
            <w:tcW w:type="pct" w:w="260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Obligations and Tasks</w:t>
            </w:r>
          </w:p>
        </w:tc>
      </w:tr>
      <w:tr>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2000"/>
            <w:tcBorders>
              <w:top w:val="single" w:sz="8" w:space="0" w:color="000000"/>
              <w:left w:val="single" w:sz="8" w:space="0" w:color="000000"/>
              <w:bottom w:val="single" w:sz="8" w:space="0" w:color="000000"/>
              <w:right w:val="single" w:sz="8" w:space="0" w:color="000000"/>
            </w:tcBorders>
          </w:tcPr>
          <w:p>
            <w:pPr>
              <w:pStyle w:val="Compact"/>
              <w:jc w:val="left"/>
            </w:pPr>
            <w:r>
              <w:t xml:space="preserve">co-mission LLC (Shyware SDK licensor)</w:t>
            </w:r>
          </w:p>
        </w:tc>
        <w:tc>
          <w:tcPr>
            <w:tcW w:type="pct" w:w="2600"/>
            <w:tcBorders>
              <w:top w:val="single" w:sz="8" w:space="0" w:color="000000"/>
              <w:left w:val="single" w:sz="8" w:space="0" w:color="000000"/>
              <w:bottom w:val="single" w:sz="8" w:space="0" w:color="000000"/>
              <w:right w:val="single" w:sz="8" w:space="0" w:color="000000"/>
            </w:tcBorders>
          </w:tcPr>
          <w:p>
            <w:pPr>
              <w:pStyle w:val="Compact"/>
              <w:jc w:val="left"/>
            </w:pPr>
            <w:r>
              <w:t xml:space="preserve">Provides SDK and related</w:t>
            </w:r>
            <w:r>
              <w:t xml:space="preserve"> </w:t>
            </w:r>
            <w:r>
              <w:t xml:space="preserve">hosted processor services under the customer’s documented instructions;</w:t>
            </w:r>
            <w:r>
              <w:t xml:space="preserve"> </w:t>
            </w:r>
            <w:r>
              <w:t xml:space="preserve">processes customer user data under the Shyware DPA</w:t>
            </w:r>
          </w:p>
        </w:tc>
      </w:tr>
      <w:tr>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2000"/>
            <w:tcBorders>
              <w:top w:val="single" w:sz="8" w:space="0" w:color="000000"/>
              <w:left w:val="single" w:sz="8" w:space="0" w:color="000000"/>
              <w:bottom w:val="single" w:sz="8" w:space="0" w:color="000000"/>
              <w:right w:val="single" w:sz="8" w:space="0" w:color="000000"/>
            </w:tcBorders>
          </w:tcPr>
          <w:p>
            <w:pPr>
              <w:pStyle w:val="Compact"/>
              <w:jc w:val="left"/>
            </w:pPr>
            <w:r>
              <w:t xml:space="preserve">EU-region cloud infrastructure provider</w:t>
            </w:r>
          </w:p>
        </w:tc>
        <w:tc>
          <w:tcPr>
            <w:tcW w:type="pct" w:w="2600"/>
            <w:tcBorders>
              <w:top w:val="single" w:sz="8" w:space="0" w:color="000000"/>
              <w:left w:val="single" w:sz="8" w:space="0" w:color="000000"/>
              <w:bottom w:val="single" w:sz="8" w:space="0" w:color="000000"/>
              <w:right w:val="single" w:sz="8" w:space="0" w:color="000000"/>
            </w:tcBorders>
          </w:tcPr>
          <w:p>
            <w:pPr>
              <w:pStyle w:val="Compact"/>
              <w:jc w:val="left"/>
            </w:pPr>
            <w:r>
              <w:t xml:space="preserve">Hosts canonical ledger</w:t>
            </w:r>
            <w:r>
              <w:t xml:space="preserve"> </w:t>
            </w:r>
            <w:r>
              <w:t xml:space="preserve">nodes and off-chain reconciling store; processes personal data under</w:t>
            </w:r>
            <w:r>
              <w:t xml:space="preserve"> </w:t>
            </w:r>
            <w:r>
              <w:t xml:space="preserve">controller’s instructions per Article 28 DPA</w:t>
            </w:r>
          </w:p>
        </w:tc>
      </w:tr>
      <w:tr>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2000"/>
            <w:tcBorders>
              <w:top w:val="single" w:sz="8" w:space="0" w:color="000000"/>
              <w:left w:val="single" w:sz="8" w:space="0" w:color="000000"/>
              <w:bottom w:val="single" w:sz="8" w:space="0" w:color="000000"/>
              <w:right w:val="single" w:sz="8" w:space="0" w:color="000000"/>
            </w:tcBorders>
          </w:tcPr>
          <w:p>
            <w:pPr>
              <w:pStyle w:val="Compact"/>
              <w:jc w:val="left"/>
            </w:pPr>
            <w:r>
              <w:t xml:space="preserve">Identity verification provider</w:t>
            </w:r>
          </w:p>
        </w:tc>
        <w:tc>
          <w:tcPr>
            <w:tcW w:type="pct" w:w="2600"/>
            <w:tcBorders>
              <w:top w:val="single" w:sz="8" w:space="0" w:color="000000"/>
              <w:left w:val="single" w:sz="8" w:space="0" w:color="000000"/>
              <w:bottom w:val="single" w:sz="8" w:space="0" w:color="000000"/>
              <w:right w:val="single" w:sz="8" w:space="0" w:color="000000"/>
            </w:tcBorders>
          </w:tcPr>
          <w:p>
            <w:pPr>
              <w:pStyle w:val="Compact"/>
              <w:jc w:val="left"/>
            </w:pPr>
            <w:r>
              <w:t xml:space="preserve">Biometric identity verification for</w:t>
            </w:r>
            <w:r>
              <w:t xml:space="preserve"> </w:t>
            </w:r>
            <w:r>
              <w:t xml:space="preserve">user-authenticated reconciling requests only; no access to behavioral</w:t>
            </w:r>
            <w:r>
              <w:t xml:space="preserve"> </w:t>
            </w:r>
            <w:r>
              <w:t xml:space="preserve">payload or canonical ledger state</w:t>
            </w:r>
          </w:p>
        </w:tc>
      </w:tr>
    </w:tbl>
    <w:bookmarkEnd w:id="19"/>
    <w:bookmarkStart w:id="20" w:name="name-of-the-processing"/>
    <w:p>
      <w:pPr>
        <w:pStyle w:val="Heading3"/>
      </w:pPr>
      <w:r>
        <w:t xml:space="preserve">Name of the Processing</w:t>
      </w:r>
    </w:p>
    <w:p>
      <w:pPr>
        <w:pStyle w:val="FirstParagraph"/>
      </w:pPr>
      <w:r>
        <w:rPr>
          <w:b/>
          <w:bCs/>
        </w:rPr>
        <w:t xml:space="preserve">Internal name:</w:t>
      </w:r>
      <w:r>
        <w:t xml:space="preserve"> </w:t>
      </w:r>
      <w:r>
        <w:t xml:space="preserve">Shyware-SDK-Integrated Behavioral Analytics</w:t>
      </w:r>
    </w:p>
    <w:p>
      <w:pPr>
        <w:pStyle w:val="BodyText"/>
      </w:pPr>
      <w:r>
        <w:rPr>
          <w:b/>
          <w:bCs/>
        </w:rPr>
        <w:t xml:space="preserve">Record of processing activities reference:</w:t>
      </w:r>
    </w:p>
    <w:bookmarkEnd w:id="20"/>
    <w:bookmarkStart w:id="21" w:name="planning-of-the-processing"/>
    <w:p>
      <w:pPr>
        <w:pStyle w:val="Heading3"/>
      </w:pPr>
      <w:r>
        <w:t xml:space="preserve">Planning of the</w:t>
      </w:r>
      <w:r>
        <w:t xml:space="preserve"> </w:t>
      </w:r>
      <w:r>
        <w:t xml:space="preserve">Processing</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808"/>
        <w:gridCol w:w="6552"/>
      </w:tblGrid>
      <w:tr>
        <w:trPr>
          <w:tblHeader w:val="on"/>
        </w:trPr>
        <w:tc>
          <w:tcPr>
            <w:tcW w:type="pct" w:w="150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Field</w:t>
            </w:r>
          </w:p>
        </w:tc>
        <w:tc>
          <w:tcPr>
            <w:tcW w:type="pct" w:w="350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Value</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Estimated launch date</w:t>
            </w:r>
          </w:p>
        </w:tc>
        <w:tc>
          <w:tcPr>
            <w:tcW w:type="pct" w:w="3500"/>
            <w:tcBorders>
              <w:top w:val="single" w:sz="8" w:space="0" w:color="000000"/>
              <w:left w:val="single" w:sz="8" w:space="0" w:color="000000"/>
              <w:bottom w:val="single" w:sz="8" w:space="0" w:color="000000"/>
              <w:right w:val="single" w:sz="8" w:space="0" w:color="000000"/>
            </w:tcBorders>
          </w:tcPr>
          <w:p>
            <w:pPr>
              <w:pStyle w:val="Compact"/>
            </w:pP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Estimated end date</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t xml:space="preserve">Ongoing — subject to annual DPIA review or</w:t>
            </w:r>
            <w:r>
              <w:t xml:space="preserve"> </w:t>
            </w:r>
            <w:r>
              <w:t xml:space="preserve">material architecture change</w:t>
            </w:r>
          </w:p>
        </w:tc>
      </w:tr>
    </w:tbl>
    <w:bookmarkEnd w:id="21"/>
    <w:bookmarkStart w:id="22" w:name="dpia-technical-sheet"/>
    <w:p>
      <w:pPr>
        <w:pStyle w:val="Heading3"/>
      </w:pPr>
      <w:r>
        <w:t xml:space="preserve">DPIA Technical Sheet</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808"/>
        <w:gridCol w:w="6552"/>
      </w:tblGrid>
      <w:tr>
        <w:trPr>
          <w:tblHeader w:val="on"/>
        </w:trPr>
        <w:tc>
          <w:tcPr>
            <w:tcW w:type="pct" w:w="150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Field</w:t>
            </w:r>
          </w:p>
        </w:tc>
        <w:tc>
          <w:tcPr>
            <w:tcW w:type="pct" w:w="350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Value</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Current version</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t xml:space="preserve">1.0</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Team involved</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t xml:space="preserve">DPO; Product Engineering Lead; Privacy Counsel; External</w:t>
            </w:r>
            <w:r>
              <w:t xml:space="preserve"> </w:t>
            </w:r>
            <w:r>
              <w:t xml:space="preserve">privacy counsel</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Reference materials</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t xml:space="preserve">EDPB DPIA Template v1.0 (March 2026); Austrian DSB</w:t>
            </w:r>
            <w:r>
              <w:t xml:space="preserve"> </w:t>
            </w:r>
            <w:r>
              <w:t xml:space="preserve">Decision D155.027 (Jan 2022) — Google Analytics; German Standard Data</w:t>
            </w:r>
            <w:r>
              <w:t xml:space="preserve"> </w:t>
            </w:r>
            <w:r>
              <w:t xml:space="preserve">Protection Model (SDM) v3.1 — unlinkability protection goal; EDPB</w:t>
            </w:r>
            <w:r>
              <w:t xml:space="preserve"> </w:t>
            </w:r>
            <w:r>
              <w:t xml:space="preserve">Guidelines 02/2024 on Article 48 GDPR; BfDI Technical Guidance on</w:t>
            </w:r>
            <w:r>
              <w:t xml:space="preserve"> </w:t>
            </w:r>
            <w:r>
              <w:t xml:space="preserve">Unlinkability (June 2025); LinkedIn behavioral analytics fine — IE DPA</w:t>
            </w:r>
            <w:r>
              <w:t xml:space="preserve"> </w:t>
            </w:r>
            <w:r>
              <w:t xml:space="preserve">(Oct 2024, €310M)</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Reason to conduct DPIA</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t xml:space="preserve">New processing activity — high risk under</w:t>
            </w:r>
            <w:r>
              <w:t xml:space="preserve"> </w:t>
            </w:r>
            <w:r>
              <w:t xml:space="preserve">Article 35(3)(a) GDPR (systematic and extensive evaluation of personal</w:t>
            </w:r>
            <w:r>
              <w:t xml:space="preserve"> </w:t>
            </w:r>
            <w:r>
              <w:t xml:space="preserve">aspects via automated processing, at scale); innovative architectural</w:t>
            </w:r>
            <w:r>
              <w:t xml:space="preserve"> </w:t>
            </w:r>
            <w:r>
              <w:t xml:space="preserve">approach (Art. 35(1)); EDPB and national DPA guidance targets behavioral</w:t>
            </w:r>
            <w:r>
              <w:t xml:space="preserve"> </w:t>
            </w:r>
            <w:r>
              <w:t xml:space="preserve">analytics (SDM unlinkability benchmark)</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Scope</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t xml:space="preserve">Full DPIA covering behavioral analytics processing under Shyware</w:t>
            </w:r>
            <w:r>
              <w:t xml:space="preserve"> </w:t>
            </w:r>
            <w:r>
              <w:t xml:space="preserve">SDK integration by the controller. Legacy analytics architecture is</w:t>
            </w:r>
            <w:r>
              <w:t xml:space="preserve"> </w:t>
            </w:r>
            <w:r>
              <w:t xml:space="preserve">outside this assessment.</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Completion date</w:t>
            </w:r>
          </w:p>
        </w:tc>
        <w:tc>
          <w:tcPr>
            <w:tcW w:type="pct" w:w="3500"/>
            <w:tcBorders>
              <w:top w:val="single" w:sz="8" w:space="0" w:color="000000"/>
              <w:left w:val="single" w:sz="8" w:space="0" w:color="000000"/>
              <w:bottom w:val="single" w:sz="8" w:space="0" w:color="000000"/>
              <w:right w:val="single" w:sz="8" w:space="0" w:color="000000"/>
            </w:tcBorders>
          </w:tcPr>
          <w:p>
            <w:pPr>
              <w:pStyle w:val="Compact"/>
            </w:pP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Formal validation date</w:t>
            </w:r>
          </w:p>
        </w:tc>
        <w:tc>
          <w:tcPr>
            <w:tcW w:type="pct" w:w="3500"/>
            <w:tcBorders>
              <w:top w:val="single" w:sz="8" w:space="0" w:color="000000"/>
              <w:left w:val="single" w:sz="8" w:space="0" w:color="000000"/>
              <w:bottom w:val="single" w:sz="8" w:space="0" w:color="000000"/>
              <w:right w:val="single" w:sz="8" w:space="0" w:color="000000"/>
            </w:tcBorders>
          </w:tcPr>
          <w:p>
            <w:pPr>
              <w:pStyle w:val="Compact"/>
            </w:pP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Publication</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t xml:space="preserve">Internal DPIA record. External sharing is limited to</w:t>
            </w:r>
            <w:r>
              <w:t xml:space="preserve"> </w:t>
            </w:r>
            <w:r>
              <w:t xml:space="preserve">parties with a documented need to know.</w:t>
            </w:r>
          </w:p>
        </w:tc>
      </w:tr>
    </w:tbl>
    <w:p>
      <w:r>
        <w:pict>
          <v:rect style="width:0;height:1.5pt" o:hralign="center" o:hrstd="t" o:hr="t"/>
        </w:pict>
      </w:r>
    </w:p>
    <w:bookmarkEnd w:id="22"/>
    <w:bookmarkEnd w:id="23"/>
    <w:bookmarkStart w:id="33" w:name="systematic-description-of-the-processing"/>
    <w:p>
      <w:pPr>
        <w:numPr>
          <w:ilvl w:val="0"/>
          <w:numId w:val="1004"/>
        </w:numPr>
        <w:pStyle w:val="Heading2"/>
      </w:pPr>
      <w:r>
        <w:t xml:space="preserve">SYSTEMATIC DESCRIPTION OF THE</w:t>
      </w:r>
      <w:r>
        <w:t xml:space="preserve"> </w:t>
      </w:r>
      <w:r>
        <w:t xml:space="preserve">PROCESSING</w:t>
      </w:r>
    </w:p>
    <w:bookmarkStart w:id="29" w:name="high-level-description-of-the-processing"/>
    <w:p>
      <w:pPr>
        <w:numPr>
          <w:ilvl w:val="1"/>
          <w:numId w:val="1004"/>
        </w:numPr>
        <w:pStyle w:val="Heading3"/>
      </w:pPr>
      <w:r>
        <w:t xml:space="preserve">High-level Description of the</w:t>
      </w:r>
      <w:r>
        <w:t xml:space="preserve"> </w:t>
      </w:r>
      <w:r>
        <w:t xml:space="preserve">Processing</w:t>
      </w:r>
    </w:p>
    <w:bookmarkStart w:id="24" w:name="processed-personal-data"/>
    <w:p>
      <w:pPr>
        <w:numPr>
          <w:ilvl w:val="2"/>
          <w:numId w:val="1004"/>
        </w:numPr>
        <w:pStyle w:val="Heading4"/>
      </w:pPr>
      <w:r>
        <w:t xml:space="preserve">Processed Personal Data</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749"/>
        <w:gridCol w:w="3557"/>
        <w:gridCol w:w="2808"/>
        <w:gridCol w:w="2246"/>
      </w:tblGrid>
      <w:tr>
        <w:trPr>
          <w:tblHeader w:val="on"/>
        </w:trPr>
        <w:tc>
          <w:tcPr>
            <w:tcW w:type="pct" w:w="40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w:t>
            </w:r>
          </w:p>
        </w:tc>
        <w:tc>
          <w:tcPr>
            <w:tcW w:type="pct" w:w="190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Personal Data Item</w:t>
            </w:r>
          </w:p>
        </w:tc>
        <w:tc>
          <w:tcPr>
            <w:tcW w:type="pct" w:w="150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Data Type / Data Subject Category</w:t>
            </w:r>
          </w:p>
        </w:tc>
        <w:tc>
          <w:tcPr>
            <w:tcW w:type="pct" w:w="120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Special Category</w:t>
            </w:r>
          </w:p>
        </w:tc>
      </w:tr>
      <w:tr>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1900"/>
            <w:tcBorders>
              <w:top w:val="single" w:sz="8" w:space="0" w:color="000000"/>
              <w:left w:val="single" w:sz="8" w:space="0" w:color="000000"/>
              <w:bottom w:val="single" w:sz="8" w:space="0" w:color="000000"/>
              <w:right w:val="single" w:sz="8" w:space="0" w:color="000000"/>
            </w:tcBorders>
          </w:tcPr>
          <w:p>
            <w:pPr>
              <w:pStyle w:val="Compact"/>
              <w:jc w:val="left"/>
            </w:pPr>
            <w:r>
              <w:t xml:space="preserve">Session identifier (List 1 record)</w:t>
            </w:r>
          </w:p>
        </w:tc>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Direction-free opaque</w:t>
            </w:r>
            <w:r>
              <w:t xml:space="preserve"> </w:t>
            </w:r>
            <w:r>
              <w:t xml:space="preserve">identifier; no behavioral direction, no identity attribute</w:t>
            </w:r>
          </w:p>
        </w:tc>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No</w:t>
            </w:r>
          </w:p>
        </w:tc>
      </w:tr>
      <w:tr>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1900"/>
            <w:tcBorders>
              <w:top w:val="single" w:sz="8" w:space="0" w:color="000000"/>
              <w:left w:val="single" w:sz="8" w:space="0" w:color="000000"/>
              <w:bottom w:val="single" w:sz="8" w:space="0" w:color="000000"/>
              <w:right w:val="single" w:sz="8" w:space="0" w:color="000000"/>
            </w:tcBorders>
          </w:tcPr>
          <w:p>
            <w:pPr>
              <w:pStyle w:val="Compact"/>
              <w:jc w:val="left"/>
            </w:pPr>
            <w:r>
              <w:t xml:space="preserve">Behavioral payload commitment (List 1 record)</w:t>
            </w:r>
          </w:p>
        </w:tc>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AES-256-GCM sealed</w:t>
            </w:r>
            <w:r>
              <w:t xml:space="preserve"> </w:t>
            </w:r>
            <w:r>
              <w:t xml:space="preserve">byte sequence; content inaccessible without controller-held sealer key</w:t>
            </w:r>
          </w:p>
        </w:tc>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No</w:t>
            </w:r>
          </w:p>
        </w:tc>
      </w:tr>
      <w:tr>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1900"/>
            <w:tcBorders>
              <w:top w:val="single" w:sz="8" w:space="0" w:color="000000"/>
              <w:left w:val="single" w:sz="8" w:space="0" w:color="000000"/>
              <w:bottom w:val="single" w:sz="8" w:space="0" w:color="000000"/>
              <w:right w:val="single" w:sz="8" w:space="0" w:color="000000"/>
            </w:tcBorders>
          </w:tcPr>
          <w:p>
            <w:pPr>
              <w:pStyle w:val="Compact"/>
              <w:jc w:val="left"/>
            </w:pPr>
            <w:r>
              <w:t xml:space="preserve">Identity hash (List 2 record)</w:t>
            </w:r>
          </w:p>
        </w:tc>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SHA-256 of verified identity</w:t>
            </w:r>
            <w:r>
              <w:t xml:space="preserve"> </w:t>
            </w:r>
            <w:r>
              <w:t xml:space="preserve">credential; no behavioral payload; no session identifier</w:t>
            </w:r>
          </w:p>
        </w:tc>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No</w:t>
            </w:r>
          </w:p>
        </w:tc>
      </w:tr>
      <w:tr>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1900"/>
            <w:tcBorders>
              <w:top w:val="single" w:sz="8" w:space="0" w:color="000000"/>
              <w:left w:val="single" w:sz="8" w:space="0" w:color="000000"/>
              <w:bottom w:val="single" w:sz="8" w:space="0" w:color="000000"/>
              <w:right w:val="single" w:sz="8" w:space="0" w:color="000000"/>
            </w:tcBorders>
          </w:tcPr>
          <w:p>
            <w:pPr>
              <w:pStyle w:val="Compact"/>
              <w:jc w:val="left"/>
            </w:pPr>
            <w:r>
              <w:t xml:space="preserve">Aggregate count per scoping period</w:t>
            </w:r>
          </w:p>
        </w:tc>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Integer count of List 1 and</w:t>
            </w:r>
            <w:r>
              <w:t xml:space="preserve"> </w:t>
            </w:r>
            <w:r>
              <w:t xml:space="preserve">List 2 entries per scoping period; no individual linkage</w:t>
            </w:r>
          </w:p>
        </w:tc>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No</w:t>
            </w:r>
          </w:p>
        </w:tc>
      </w:tr>
      <w:tr>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5</w:t>
            </w:r>
          </w:p>
        </w:tc>
        <w:tc>
          <w:tcPr>
            <w:tcW w:type="pct" w:w="1900"/>
            <w:tcBorders>
              <w:top w:val="single" w:sz="8" w:space="0" w:color="000000"/>
              <w:left w:val="single" w:sz="8" w:space="0" w:color="000000"/>
              <w:bottom w:val="single" w:sz="8" w:space="0" w:color="000000"/>
              <w:right w:val="single" w:sz="8" w:space="0" w:color="000000"/>
            </w:tcBorders>
          </w:tcPr>
          <w:p>
            <w:pPr>
              <w:pStyle w:val="Compact"/>
              <w:jc w:val="left"/>
            </w:pPr>
            <w:r>
              <w:t xml:space="preserve">Period-close attestation</w:t>
            </w:r>
          </w:p>
        </w:tc>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HSM-signed Merkle roots over disjoint</w:t>
            </w:r>
            <w:r>
              <w:t xml:space="preserve"> </w:t>
            </w:r>
            <w:r>
              <w:t xml:space="preserve">List 1 and List 2 sets at period close; no individual record linkage</w:t>
            </w:r>
          </w:p>
        </w:tc>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No</w:t>
            </w:r>
          </w:p>
        </w:tc>
      </w:tr>
      <w:tr>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6</w:t>
            </w:r>
          </w:p>
        </w:tc>
        <w:tc>
          <w:tcPr>
            <w:tcW w:type="pct" w:w="1900"/>
            <w:tcBorders>
              <w:top w:val="single" w:sz="8" w:space="0" w:color="000000"/>
              <w:left w:val="single" w:sz="8" w:space="0" w:color="000000"/>
              <w:bottom w:val="single" w:sz="8" w:space="0" w:color="000000"/>
              <w:right w:val="single" w:sz="8" w:space="0" w:color="000000"/>
            </w:tcBorders>
          </w:tcPr>
          <w:p>
            <w:pPr>
              <w:pStyle w:val="Compact"/>
              <w:jc w:val="left"/>
            </w:pPr>
            <w:r>
              <w:t xml:space="preserve">User-authenticated reconciling record</w:t>
            </w:r>
          </w:p>
        </w:tc>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Per-user behavioral history</w:t>
            </w:r>
            <w:r>
              <w:t xml:space="preserve"> </w:t>
            </w:r>
            <w:r>
              <w:t xml:space="preserve">in off-chain reconciling store; accessible only via identity-gated,</w:t>
            </w:r>
            <w:r>
              <w:t xml:space="preserve"> </w:t>
            </w:r>
            <w:r>
              <w:t xml:space="preserve">non-composable reconciling authority interface</w:t>
            </w:r>
          </w:p>
        </w:tc>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No</w:t>
            </w:r>
          </w:p>
        </w:tc>
      </w:tr>
    </w:tbl>
    <w:p>
      <w:pPr>
        <w:pStyle w:val="BodyText"/>
      </w:pPr>
      <w:r>
        <w:rPr>
          <w:b/>
          <w:bCs/>
        </w:rPr>
        <w:t xml:space="preserve">Canonical state architecture:</w:t>
      </w:r>
      <w:r>
        <w:t xml:space="preserve"> </w:t>
      </w:r>
      <w:r>
        <w:t xml:space="preserve">Items 1–5 are canonical ledger</w:t>
      </w:r>
      <w:r>
        <w:t xml:space="preserve"> </w:t>
      </w:r>
      <w:r>
        <w:t xml:space="preserve">records. The canonical state contains no record associating any List 1</w:t>
      </w:r>
      <w:r>
        <w:t xml:space="preserve"> </w:t>
      </w:r>
      <w:r>
        <w:t xml:space="preserve">entry (behavioral payload) with any List 2 entry (identity hash). This</w:t>
      </w:r>
      <w:r>
        <w:t xml:space="preserve"> </w:t>
      </w:r>
      <w:r>
        <w:t xml:space="preserve">is a structural property of the Shyware state machine: the rejection</w:t>
      </w:r>
      <w:r>
        <w:t xml:space="preserve"> </w:t>
      </w:r>
      <w:r>
        <w:t xml:space="preserve">predicate refuses any state transition that would create such an</w:t>
      </w:r>
      <w:r>
        <w:t xml:space="preserve"> </w:t>
      </w:r>
      <w:r>
        <w:t xml:space="preserve">association. Items 1 and 3 share no join key in canonical state by</w:t>
      </w:r>
      <w:r>
        <w:t xml:space="preserve"> </w:t>
      </w:r>
      <w:r>
        <w:t xml:space="preserve">architectural enforcement, not by policy.</w:t>
      </w:r>
    </w:p>
    <w:bookmarkEnd w:id="24"/>
    <w:bookmarkStart w:id="25" w:name="list2-sealed-attributes-browser"/>
    <w:p>
      <w:pPr>
        <w:numPr>
          <w:ilvl w:val="2"/>
          <w:numId w:val="1004"/>
        </w:numPr>
        <w:pStyle w:val="Heading4"/>
      </w:pPr>
      <w:r>
        <w:t xml:space="preserve">List 2 Sealed-Attribute Content (shyIDV)</w:t>
      </w:r>
    </w:p>
    <w:p>
      <w:pPr>
        <w:pStyle w:val="FirstParagraph"/>
      </w:pPr>
      <w:r>
        <w:t xml:space="preserve">When</w:t>
      </w:r>
      <w:r>
        <w:t xml:space="preserve"> </w:t>
      </w:r>
      <w:r>
        <w:rPr>
          <w:rStyle w:val="VerbatimChar"/>
        </w:rPr>
        <w:t xml:space="preserve">anon_layer.shyIDV: true</w:t>
      </w:r>
      <w:r>
        <w:t xml:space="preserve"> </w:t>
      </w:r>
      <w:r>
        <w:t xml:space="preserve">(as configured in shybrowser-v1), the List 2 record is not a plain identity hash but an</w:t>
      </w:r>
      <w:r>
        <w:t xml:space="preserve"> </w:t>
      </w:r>
      <w:r>
        <w:rPr>
          <w:b/>
          <w:bCs/>
        </w:rPr>
        <w:t xml:space="preserve">AES-256-GCM sealed envelope</w:t>
      </w:r>
      <w:r>
        <w:t xml:space="preserve">. The sealed envelope may contain the following browser session attributes as configured by the operator. This is the primary instantiation of the Mainhub patent’s formulation:</w:t>
      </w:r>
      <w:r>
        <w:t xml:space="preserve"> </w:t>
      </w:r>
      <w:r>
        <w:rPr>
          <w:i/>
          <w:iCs/>
        </w:rPr>
        <w:t xml:space="preserve">“the second canonical record … may additionally include any participant attribute — such as real IP address, device attestation verdict, geolocation, or other network or forensic attribute — that enables operator or authority reconcilability, compliance, abuse prevention, or forensic analysis, while preserving structural anonymity”</w:t>
      </w:r>
      <w:r>
        <w:t xml:space="preserve"> </w:t>
      </w:r>
      <w:r>
        <w:t xml:space="preserve">(composition.tex). The structural anonymity guarantee holds regardless of what attributes appear in List 2: the rejection predicate prevents any join key between List 1 and List 2 by write architecture, not by policy.</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527"/>
        <w:gridCol w:w="2808"/>
        <w:gridCol w:w="4025"/>
      </w:tblGrid>
      <w:tr>
        <w:trPr>
          <w:tblHeader w:val="on"/>
        </w:trPr>
        <w:tc>
          <w:tcPr>
            <w:tcW w:type="pct" w:w="13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Attribute</w:t>
            </w:r>
          </w:p>
        </w:tc>
        <w:tc>
          <w:tcPr>
            <w:tcW w:type="pct" w:w="15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Data type</w:t>
            </w:r>
          </w:p>
        </w:tc>
        <w:tc>
          <w:tcPr>
            <w:tcW w:type="pct" w:w="21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Legal basis (Art. 6 GDPR)</w:t>
            </w:r>
          </w:p>
        </w:tc>
      </w:tr>
      <w:tr>
        <w:tc>
          <w:tcPr>
            <w:tcW w:type="pct" w:w="1350"/>
            <w:tcBorders>
              <w:top w:val="single" w:sz="8" w:space="0" w:color="000000"/>
              <w:left w:val="single" w:sz="8" w:space="0" w:color="000000"/>
              <w:bottom w:val="single" w:sz="8" w:space="0" w:color="000000"/>
              <w:right w:val="single" w:sz="8" w:space="0" w:color="000000"/>
            </w:tcBorders>
          </w:tcPr>
          <w:p>
            <w:pPr>
              <w:pStyle w:val="Compact"/>
              <w:jc w:val="left"/>
            </w:pPr>
            <w:r>
              <w:t xml:space="preserve">IP address</w:t>
            </w:r>
          </w:p>
        </w:tc>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Pseudonymous network identifier</w:t>
            </w:r>
          </w:p>
        </w:tc>
        <w:tc>
          <w:tcPr>
            <w:tcW w:type="pct" w:w="2150"/>
            <w:tcBorders>
              <w:top w:val="single" w:sz="8" w:space="0" w:color="000000"/>
              <w:left w:val="single" w:sz="8" w:space="0" w:color="000000"/>
              <w:bottom w:val="single" w:sz="8" w:space="0" w:color="000000"/>
              <w:right w:val="single" w:sz="8" w:space="0" w:color="000000"/>
            </w:tcBorders>
          </w:tcPr>
          <w:p>
            <w:pPr>
              <w:pStyle w:val="Compact"/>
              <w:jc w:val="left"/>
            </w:pPr>
            <w:r>
              <w:t xml:space="preserve">Art. 6(1)(f) legitimate interest (fraud/sybil prevention); or Art. 6(1)(a) consent where tracking-adjacent</w:t>
            </w:r>
          </w:p>
        </w:tc>
      </w:tr>
      <w:tr>
        <w:tc>
          <w:tcPr>
            <w:tcW w:type="pct" w:w="1350"/>
            <w:tcBorders>
              <w:top w:val="single" w:sz="8" w:space="0" w:color="000000"/>
              <w:left w:val="single" w:sz="8" w:space="0" w:color="000000"/>
              <w:bottom w:val="single" w:sz="8" w:space="0" w:color="000000"/>
              <w:right w:val="single" w:sz="8" w:space="0" w:color="000000"/>
            </w:tcBorders>
          </w:tcPr>
          <w:p>
            <w:pPr>
              <w:pStyle w:val="Compact"/>
              <w:jc w:val="left"/>
            </w:pPr>
            <w:r>
              <w:t xml:space="preserve">User agent string</w:t>
            </w:r>
          </w:p>
        </w:tc>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Browser and device fingerprint component</w:t>
            </w:r>
          </w:p>
        </w:tc>
        <w:tc>
          <w:tcPr>
            <w:tcW w:type="pct" w:w="2150"/>
            <w:tcBorders>
              <w:top w:val="single" w:sz="8" w:space="0" w:color="000000"/>
              <w:left w:val="single" w:sz="8" w:space="0" w:color="000000"/>
              <w:bottom w:val="single" w:sz="8" w:space="0" w:color="000000"/>
              <w:right w:val="single" w:sz="8" w:space="0" w:color="000000"/>
            </w:tcBorders>
          </w:tcPr>
          <w:p>
            <w:pPr>
              <w:pStyle w:val="Compact"/>
              <w:jc w:val="left"/>
            </w:pPr>
            <w:r>
              <w:t xml:space="preserve">Art. 6(1)(f) legitimate interest (device compatibility, sybil detection)</w:t>
            </w:r>
          </w:p>
        </w:tc>
      </w:tr>
      <w:tr>
        <w:tc>
          <w:tcPr>
            <w:tcW w:type="pct" w:w="1350"/>
            <w:tcBorders>
              <w:top w:val="single" w:sz="8" w:space="0" w:color="000000"/>
              <w:left w:val="single" w:sz="8" w:space="0" w:color="000000"/>
              <w:bottom w:val="single" w:sz="8" w:space="0" w:color="000000"/>
              <w:right w:val="single" w:sz="8" w:space="0" w:color="000000"/>
            </w:tcBorders>
          </w:tcPr>
          <w:p>
            <w:pPr>
              <w:pStyle w:val="Compact"/>
              <w:jc w:val="left"/>
            </w:pPr>
            <w:r>
              <w:t xml:space="preserve">Session token (hashed)</w:t>
            </w:r>
          </w:p>
        </w:tc>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Ephemeral per-session opaque identifier</w:t>
            </w:r>
          </w:p>
        </w:tc>
        <w:tc>
          <w:tcPr>
            <w:tcW w:type="pct" w:w="2150"/>
            <w:tcBorders>
              <w:top w:val="single" w:sz="8" w:space="0" w:color="000000"/>
              <w:left w:val="single" w:sz="8" w:space="0" w:color="000000"/>
              <w:bottom w:val="single" w:sz="8" w:space="0" w:color="000000"/>
              <w:right w:val="single" w:sz="8" w:space="0" w:color="000000"/>
            </w:tcBorders>
          </w:tcPr>
          <w:p>
            <w:pPr>
              <w:pStyle w:val="Compact"/>
              <w:jc w:val="left"/>
            </w:pPr>
            <w:r>
              <w:t xml:space="preserve">Art. 6(1)(b) service performance; rotated per session</w:t>
            </w:r>
          </w:p>
        </w:tc>
      </w:tr>
      <w:tr>
        <w:tc>
          <w:tcPr>
            <w:tcW w:type="pct" w:w="1350"/>
            <w:tcBorders>
              <w:top w:val="single" w:sz="8" w:space="0" w:color="000000"/>
              <w:left w:val="single" w:sz="8" w:space="0" w:color="000000"/>
              <w:bottom w:val="single" w:sz="8" w:space="0" w:color="000000"/>
              <w:right w:val="single" w:sz="8" w:space="0" w:color="000000"/>
            </w:tcBorders>
          </w:tcPr>
          <w:p>
            <w:pPr>
              <w:pStyle w:val="Compact"/>
              <w:jc w:val="left"/>
            </w:pPr>
            <w:r>
              <w:t xml:space="preserve">Device fingerprint hash</w:t>
            </w:r>
          </w:p>
        </w:tc>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Aggregated browser characteristics</w:t>
            </w:r>
          </w:p>
        </w:tc>
        <w:tc>
          <w:tcPr>
            <w:tcW w:type="pct" w:w="2150"/>
            <w:tcBorders>
              <w:top w:val="single" w:sz="8" w:space="0" w:color="000000"/>
              <w:left w:val="single" w:sz="8" w:space="0" w:color="000000"/>
              <w:bottom w:val="single" w:sz="8" w:space="0" w:color="000000"/>
              <w:right w:val="single" w:sz="8" w:space="0" w:color="000000"/>
            </w:tcBorders>
          </w:tcPr>
          <w:p>
            <w:pPr>
              <w:pStyle w:val="Compact"/>
              <w:jc w:val="left"/>
            </w:pPr>
            <w:r>
              <w:t xml:space="preserve">Art. 6(1)(f) legitimate interest; Art. 6(1)(a) consent if used for cross-session tracking</w:t>
            </w:r>
          </w:p>
        </w:tc>
      </w:tr>
      <w:tr>
        <w:tc>
          <w:tcPr>
            <w:tcW w:type="pct" w:w="1350"/>
            <w:tcBorders>
              <w:top w:val="single" w:sz="8" w:space="0" w:color="000000"/>
              <w:left w:val="single" w:sz="8" w:space="0" w:color="000000"/>
              <w:bottom w:val="single" w:sz="8" w:space="0" w:color="000000"/>
              <w:right w:val="single" w:sz="8" w:space="0" w:color="000000"/>
            </w:tcBorders>
          </w:tcPr>
          <w:p>
            <w:pPr>
              <w:pStyle w:val="Compact"/>
              <w:jc w:val="left"/>
            </w:pPr>
            <w:r>
              <w:t xml:space="preserve">Identity commitment</w:t>
            </w:r>
          </w:p>
        </w:tc>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SHA-256 of verified identity credential</w:t>
            </w:r>
          </w:p>
        </w:tc>
        <w:tc>
          <w:tcPr>
            <w:tcW w:type="pct" w:w="2150"/>
            <w:tcBorders>
              <w:top w:val="single" w:sz="8" w:space="0" w:color="000000"/>
              <w:left w:val="single" w:sz="8" w:space="0" w:color="000000"/>
              <w:bottom w:val="single" w:sz="8" w:space="0" w:color="000000"/>
              <w:right w:val="single" w:sz="8" w:space="0" w:color="000000"/>
            </w:tcBorders>
          </w:tcPr>
          <w:p>
            <w:pPr>
              <w:pStyle w:val="Compact"/>
              <w:jc w:val="left"/>
            </w:pPr>
            <w:r>
              <w:t xml:space="preserve">Art. 6(1)(f) sybil resistance and count-match integrity</w:t>
            </w:r>
          </w:p>
        </w:tc>
      </w:tr>
    </w:tbl>
    <w:p>
      <w:pPr>
        <w:pStyle w:val="BodyText"/>
      </w:pPr>
      <w:r>
        <w:rPr>
          <w:b/>
          <w:bCs/>
        </w:rPr>
        <w:t xml:space="preserve">Operator action required:</w:t>
      </w:r>
      <w:r>
        <w:t xml:space="preserve"> </w:t>
      </w:r>
      <w:r>
        <w:t xml:space="preserve">The operator must (a) enumerate in their privacy notice which of the above attributes are included in List 2 for their specific deployment, (b) identify the legal basis for each attribute, and (c) confirm that the sealer key is held exclusively by the reconciling authority (not the IDV provider or auth provider). If IP address or device fingerprint is included, assess whether the processing constitutes tracking under ePrivacy Directive Art. 5(3) and obtain consent where required.</w:t>
      </w:r>
    </w:p>
    <w:p>
      <w:pPr>
        <w:pStyle w:val="BodyText"/>
      </w:pPr>
      <w:r>
        <w:rPr>
          <w:b/>
          <w:bCs/>
        </w:rPr>
        <w:t xml:space="preserve">Structural guarantee preserved:</w:t>
      </w:r>
      <w:r>
        <w:t xml:space="preserve"> </w:t>
      </w:r>
      <w:r>
        <w:t xml:space="preserve">The AES-256-GCM sealed List 2 envelope is written atomically with the List 1 behavioral payload commitment. The sealing key is not in canonical state. No canonical-state query yields the association between List 1 content and List 2 attributes. The guarantee extends to all attribute combinations above — the sealed envelope’s richer content does not weaken the structural non-linkability property.</w:t>
      </w:r>
    </w:p>
    <w:bookmarkEnd w:id="25"/>
    <w:bookmarkStart w:id="26" w:name="purposes-of-the-processing"/>
    <w:p>
      <w:pPr>
        <w:numPr>
          <w:ilvl w:val="2"/>
          <w:numId w:val="1004"/>
        </w:numPr>
        <w:pStyle w:val="Heading4"/>
      </w:pPr>
      <w:r>
        <w:t xml:space="preserve">Purposes of the Processing</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562"/>
        <w:gridCol w:w="2902"/>
        <w:gridCol w:w="1872"/>
        <w:gridCol w:w="4025"/>
      </w:tblGrid>
      <w:tr>
        <w:trPr>
          <w:tblHeader w:val="on"/>
        </w:trPr>
        <w:tc>
          <w:tcPr>
            <w:tcW w:type="pct" w:w="30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w:t>
            </w:r>
          </w:p>
        </w:tc>
        <w:tc>
          <w:tcPr>
            <w:tcW w:type="pct" w:w="155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Purpose</w:t>
            </w:r>
          </w:p>
        </w:tc>
        <w:tc>
          <w:tcPr>
            <w:tcW w:type="pct" w:w="100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Personal Data Involved</w:t>
            </w:r>
          </w:p>
        </w:tc>
        <w:tc>
          <w:tcPr>
            <w:tcW w:type="pct" w:w="215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Legal Basis</w:t>
            </w:r>
          </w:p>
        </w:tc>
      </w:tr>
      <w:tr>
        <w:tc>
          <w:tcPr>
            <w:tcW w:type="pct" w:w="30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Behavioral analytics — aggregate session tracking</w:t>
            </w:r>
          </w:p>
        </w:tc>
        <w:tc>
          <w:tcPr>
            <w:tcW w:type="pct" w:w="1000"/>
            <w:tcBorders>
              <w:top w:val="single" w:sz="8" w:space="0" w:color="000000"/>
              <w:left w:val="single" w:sz="8" w:space="0" w:color="000000"/>
              <w:bottom w:val="single" w:sz="8" w:space="0" w:color="000000"/>
              <w:right w:val="single" w:sz="8" w:space="0" w:color="000000"/>
            </w:tcBorders>
          </w:tcPr>
          <w:p>
            <w:pPr>
              <w:pStyle w:val="Compact"/>
              <w:jc w:val="left"/>
            </w:pPr>
            <w:r>
              <w:t xml:space="preserve">Items 1, 2, 4,</w:t>
            </w:r>
            <w:r>
              <w:t xml:space="preserve"> </w:t>
            </w:r>
            <w:r>
              <w:t xml:space="preserve">5</w:t>
            </w:r>
          </w:p>
        </w:tc>
        <w:tc>
          <w:tcPr>
            <w:tcW w:type="pct" w:w="2150"/>
            <w:tcBorders>
              <w:top w:val="single" w:sz="8" w:space="0" w:color="000000"/>
              <w:left w:val="single" w:sz="8" w:space="0" w:color="000000"/>
              <w:bottom w:val="single" w:sz="8" w:space="0" w:color="000000"/>
              <w:right w:val="single" w:sz="8" w:space="0" w:color="000000"/>
            </w:tcBorders>
          </w:tcPr>
          <w:p>
            <w:pPr>
              <w:pStyle w:val="Compact"/>
              <w:jc w:val="left"/>
            </w:pPr>
            <w:r>
              <w:t xml:space="preserve">Article 6(1)(f) — legitimate interests; identity not linkable to</w:t>
            </w:r>
            <w:r>
              <w:t xml:space="preserve"> </w:t>
            </w:r>
            <w:r>
              <w:t xml:space="preserve">behavior in canonical state</w:t>
            </w:r>
          </w:p>
        </w:tc>
      </w:tr>
      <w:tr>
        <w:tc>
          <w:tcPr>
            <w:tcW w:type="pct" w:w="30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Identity verification — sybil resistance</w:t>
            </w:r>
          </w:p>
        </w:tc>
        <w:tc>
          <w:tcPr>
            <w:tcW w:type="pct" w:w="1000"/>
            <w:tcBorders>
              <w:top w:val="single" w:sz="8" w:space="0" w:color="000000"/>
              <w:left w:val="single" w:sz="8" w:space="0" w:color="000000"/>
              <w:bottom w:val="single" w:sz="8" w:space="0" w:color="000000"/>
              <w:right w:val="single" w:sz="8" w:space="0" w:color="000000"/>
            </w:tcBorders>
          </w:tcPr>
          <w:p>
            <w:pPr>
              <w:pStyle w:val="Compact"/>
              <w:jc w:val="left"/>
            </w:pPr>
            <w:r>
              <w:t xml:space="preserve">Item 3</w:t>
            </w:r>
          </w:p>
        </w:tc>
        <w:tc>
          <w:tcPr>
            <w:tcW w:type="pct" w:w="2150"/>
            <w:tcBorders>
              <w:top w:val="single" w:sz="8" w:space="0" w:color="000000"/>
              <w:left w:val="single" w:sz="8" w:space="0" w:color="000000"/>
              <w:bottom w:val="single" w:sz="8" w:space="0" w:color="000000"/>
              <w:right w:val="single" w:sz="8" w:space="0" w:color="000000"/>
            </w:tcBorders>
          </w:tcPr>
          <w:p>
            <w:pPr>
              <w:pStyle w:val="Compact"/>
              <w:jc w:val="left"/>
            </w:pPr>
            <w:r>
              <w:t xml:space="preserve">Article</w:t>
            </w:r>
            <w:r>
              <w:t xml:space="preserve"> </w:t>
            </w:r>
            <w:r>
              <w:t xml:space="preserve">6(1)(f) / (b) — service integrity; one canonical record per verified</w:t>
            </w:r>
            <w:r>
              <w:t xml:space="preserve"> </w:t>
            </w:r>
            <w:r>
              <w:t xml:space="preserve">user per scoping period</w:t>
            </w:r>
          </w:p>
        </w:tc>
      </w:tr>
      <w:tr>
        <w:tc>
          <w:tcPr>
            <w:tcW w:type="pct" w:w="30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Period-close attestation — compliance audit</w:t>
            </w:r>
          </w:p>
        </w:tc>
        <w:tc>
          <w:tcPr>
            <w:tcW w:type="pct" w:w="1000"/>
            <w:tcBorders>
              <w:top w:val="single" w:sz="8" w:space="0" w:color="000000"/>
              <w:left w:val="single" w:sz="8" w:space="0" w:color="000000"/>
              <w:bottom w:val="single" w:sz="8" w:space="0" w:color="000000"/>
              <w:right w:val="single" w:sz="8" w:space="0" w:color="000000"/>
            </w:tcBorders>
          </w:tcPr>
          <w:p>
            <w:pPr>
              <w:pStyle w:val="Compact"/>
              <w:jc w:val="left"/>
            </w:pPr>
            <w:r>
              <w:t xml:space="preserve">Item 5</w:t>
            </w:r>
          </w:p>
        </w:tc>
        <w:tc>
          <w:tcPr>
            <w:tcW w:type="pct" w:w="2150"/>
            <w:tcBorders>
              <w:top w:val="single" w:sz="8" w:space="0" w:color="000000"/>
              <w:left w:val="single" w:sz="8" w:space="0" w:color="000000"/>
              <w:bottom w:val="single" w:sz="8" w:space="0" w:color="000000"/>
              <w:right w:val="single" w:sz="8" w:space="0" w:color="000000"/>
            </w:tcBorders>
          </w:tcPr>
          <w:p>
            <w:pPr>
              <w:pStyle w:val="Compact"/>
              <w:jc w:val="left"/>
            </w:pPr>
            <w:r>
              <w:t xml:space="preserve">Article</w:t>
            </w:r>
            <w:r>
              <w:t xml:space="preserve"> </w:t>
            </w:r>
            <w:r>
              <w:t xml:space="preserve">6(1)(f) / (c) — regulatory audit; aggregate only; no individual</w:t>
            </w:r>
            <w:r>
              <w:t xml:space="preserve"> </w:t>
            </w:r>
            <w:r>
              <w:t xml:space="preserve">linkage</w:t>
            </w:r>
          </w:p>
        </w:tc>
      </w:tr>
      <w:tr>
        <w:tc>
          <w:tcPr>
            <w:tcW w:type="pct" w:w="30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User-authenticated behavioral history retrieval</w:t>
            </w:r>
          </w:p>
        </w:tc>
        <w:tc>
          <w:tcPr>
            <w:tcW w:type="pct" w:w="1000"/>
            <w:tcBorders>
              <w:top w:val="single" w:sz="8" w:space="0" w:color="000000"/>
              <w:left w:val="single" w:sz="8" w:space="0" w:color="000000"/>
              <w:bottom w:val="single" w:sz="8" w:space="0" w:color="000000"/>
              <w:right w:val="single" w:sz="8" w:space="0" w:color="000000"/>
            </w:tcBorders>
          </w:tcPr>
          <w:p>
            <w:pPr>
              <w:pStyle w:val="Compact"/>
              <w:jc w:val="left"/>
            </w:pPr>
            <w:r>
              <w:t xml:space="preserve">Item 6</w:t>
            </w:r>
          </w:p>
        </w:tc>
        <w:tc>
          <w:tcPr>
            <w:tcW w:type="pct" w:w="2150"/>
            <w:tcBorders>
              <w:top w:val="single" w:sz="8" w:space="0" w:color="000000"/>
              <w:left w:val="single" w:sz="8" w:space="0" w:color="000000"/>
              <w:bottom w:val="single" w:sz="8" w:space="0" w:color="000000"/>
              <w:right w:val="single" w:sz="8" w:space="0" w:color="000000"/>
            </w:tcBorders>
          </w:tcPr>
          <w:p>
            <w:pPr>
              <w:pStyle w:val="Compact"/>
              <w:jc w:val="left"/>
            </w:pPr>
            <w:r>
              <w:t xml:space="preserve">Article</w:t>
            </w:r>
            <w:r>
              <w:t xml:space="preserve"> </w:t>
            </w:r>
            <w:r>
              <w:t xml:space="preserve">6(1)(b) — contract performance; user-initiated only; operator cannot</w:t>
            </w:r>
            <w:r>
              <w:t xml:space="preserve"> </w:t>
            </w:r>
            <w:r>
              <w:t xml:space="preserve">initiate</w:t>
            </w:r>
          </w:p>
        </w:tc>
      </w:tr>
    </w:tbl>
    <w:bookmarkEnd w:id="26"/>
    <w:bookmarkStart w:id="27" w:name="secondary-or-compatible-uses"/>
    <w:p>
      <w:pPr>
        <w:numPr>
          <w:ilvl w:val="2"/>
          <w:numId w:val="1004"/>
        </w:numPr>
        <w:pStyle w:val="Heading4"/>
      </w:pPr>
      <w:r>
        <w:t xml:space="preserve">Secondary or Compatible</w:t>
      </w:r>
      <w:r>
        <w:t xml:space="preserve"> </w:t>
      </w:r>
      <w:r>
        <w:t xml:space="preserve">Uses</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562"/>
        <w:gridCol w:w="2808"/>
        <w:gridCol w:w="2059"/>
        <w:gridCol w:w="3931"/>
      </w:tblGrid>
      <w:tr>
        <w:trPr>
          <w:tblHeader w:val="on"/>
        </w:trPr>
        <w:tc>
          <w:tcPr>
            <w:tcW w:type="pct" w:w="30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w:t>
            </w:r>
          </w:p>
        </w:tc>
        <w:tc>
          <w:tcPr>
            <w:tcW w:type="pct" w:w="150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Secondary Use</w:t>
            </w:r>
          </w:p>
        </w:tc>
        <w:tc>
          <w:tcPr>
            <w:tcW w:type="pct" w:w="110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Personal Data Involved</w:t>
            </w:r>
          </w:p>
        </w:tc>
        <w:tc>
          <w:tcPr>
            <w:tcW w:type="pct" w:w="210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Compatibility Assessment</w:t>
            </w:r>
          </w:p>
        </w:tc>
      </w:tr>
      <w:tr>
        <w:tc>
          <w:tcPr>
            <w:tcW w:type="pct" w:w="30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Regulatory audit — DPA inspection</w:t>
            </w:r>
          </w:p>
        </w:tc>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Items 4, 5 only</w:t>
            </w:r>
          </w:p>
        </w:tc>
        <w:tc>
          <w:tcPr>
            <w:tcW w:type="pct" w:w="2100"/>
            <w:tcBorders>
              <w:top w:val="single" w:sz="8" w:space="0" w:color="000000"/>
              <w:left w:val="single" w:sz="8" w:space="0" w:color="000000"/>
              <w:bottom w:val="single" w:sz="8" w:space="0" w:color="000000"/>
              <w:right w:val="single" w:sz="8" w:space="0" w:color="000000"/>
            </w:tcBorders>
          </w:tcPr>
          <w:p>
            <w:pPr>
              <w:pStyle w:val="Compact"/>
              <w:jc w:val="left"/>
            </w:pPr>
            <w:r>
              <w:t xml:space="preserve">Compatible:</w:t>
            </w:r>
            <w:r>
              <w:t xml:space="preserve"> </w:t>
            </w:r>
            <w:r>
              <w:t xml:space="preserve">aggregate counts and HSM attestations only; no identity-behavior</w:t>
            </w:r>
            <w:r>
              <w:t xml:space="preserve"> </w:t>
            </w:r>
            <w:r>
              <w:t xml:space="preserve">association in canonical state</w:t>
            </w:r>
          </w:p>
        </w:tc>
      </w:tr>
      <w:tr>
        <w:tc>
          <w:tcPr>
            <w:tcW w:type="pct" w:w="30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User-initiated disclosure to third party (delegation)</w:t>
            </w:r>
          </w:p>
        </w:tc>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Item 6</w:t>
            </w:r>
          </w:p>
        </w:tc>
        <w:tc>
          <w:tcPr>
            <w:tcW w:type="pct" w:w="2100"/>
            <w:tcBorders>
              <w:top w:val="single" w:sz="8" w:space="0" w:color="000000"/>
              <w:left w:val="single" w:sz="8" w:space="0" w:color="000000"/>
              <w:bottom w:val="single" w:sz="8" w:space="0" w:color="000000"/>
              <w:right w:val="single" w:sz="8" w:space="0" w:color="000000"/>
            </w:tcBorders>
          </w:tcPr>
          <w:p>
            <w:pPr>
              <w:pStyle w:val="Compact"/>
              <w:jc w:val="left"/>
            </w:pPr>
            <w:r>
              <w:t xml:space="preserve">Compatible: user authenticates and explicitly authorizes via reconciling</w:t>
            </w:r>
            <w:r>
              <w:t xml:space="preserve"> </w:t>
            </w:r>
            <w:r>
              <w:t xml:space="preserve">authority interface; operator cannot initiate or compel</w:t>
            </w:r>
          </w:p>
        </w:tc>
      </w:tr>
    </w:tbl>
    <w:bookmarkEnd w:id="27"/>
    <w:bookmarkStart w:id="28" w:name="Xe5ea984fcfbb70cee0361dcf13adac89fd34bcb"/>
    <w:p>
      <w:pPr>
        <w:numPr>
          <w:ilvl w:val="2"/>
          <w:numId w:val="1004"/>
        </w:numPr>
        <w:pStyle w:val="Heading4"/>
      </w:pPr>
      <w:r>
        <w:t xml:space="preserve">Nature, Scope and Context of the</w:t>
      </w:r>
      <w:r>
        <w:t xml:space="preserve"> </w:t>
      </w:r>
      <w:r>
        <w:t xml:space="preserve">Processing</w:t>
      </w:r>
    </w:p>
    <w:p>
      <w:pPr>
        <w:pStyle w:val="FirstParagraph"/>
      </w:pPr>
      <w:r>
        <w:rPr>
          <w:b/>
          <w:bCs/>
        </w:rPr>
        <w:t xml:space="preserve">Nature:</w:t>
      </w:r>
      <w:r>
        <w:t xml:space="preserve"> </w:t>
      </w:r>
      <w:r>
        <w:t xml:space="preserve">Behavioral analytics using a two-list state machine</w:t>
      </w:r>
      <w:r>
        <w:t xml:space="preserve"> </w:t>
      </w:r>
      <w:r>
        <w:t xml:space="preserve">(Shyware SDK). Behavioral events are atomically committed to a</w:t>
      </w:r>
      <w:r>
        <w:t xml:space="preserve"> </w:t>
      </w:r>
      <w:r>
        <w:t xml:space="preserve">distributed ledger as two structurally disjoint records: List 1 (sealed</w:t>
      </w:r>
      <w:r>
        <w:t xml:space="preserve"> </w:t>
      </w:r>
      <w:r>
        <w:t xml:space="preserve">behavioral payload, no identity) and List 2 (identity hash, no</w:t>
      </w:r>
      <w:r>
        <w:t xml:space="preserve"> </w:t>
      </w:r>
      <w:r>
        <w:t xml:space="preserve">behavioral payload). No join key is written to canonical state.</w:t>
      </w:r>
      <w:r>
        <w:t xml:space="preserve"> </w:t>
      </w:r>
      <w:r>
        <w:t xml:space="preserve">Operator-level enumeration — querying</w:t>
      </w:r>
      <w:r>
        <w:t xml:space="preserve"> </w:t>
      </w:r>
      <w:r>
        <w:t xml:space="preserve">“all users who performed</w:t>
      </w:r>
      <w:r>
        <w:t xml:space="preserve"> </w:t>
      </w:r>
      <w:r>
        <w:t xml:space="preserve">behavior X”</w:t>
      </w:r>
      <w:r>
        <w:t xml:space="preserve"> </w:t>
      </w:r>
      <w:r>
        <w:t xml:space="preserve">— is structurally unavailable because canonical state</w:t>
      </w:r>
      <w:r>
        <w:t xml:space="preserve"> </w:t>
      </w:r>
      <w:r>
        <w:t xml:space="preserve">does not contain sufficient information to derive the association.</w:t>
      </w:r>
    </w:p>
    <w:p>
      <w:pPr>
        <w:pStyle w:val="BodyText"/>
      </w:pPr>
      <w:r>
        <w:rPr>
          <w:b/>
          <w:bCs/>
        </w:rPr>
        <w:t xml:space="preserve">Scope:</w:t>
      </w:r>
      <w:r>
        <w:t xml:space="preserve"> </w:t>
      </w:r>
      <w:r>
        <w:t xml:space="preserve">EU enterprise users of the analytics vendor’s platform</w:t>
      </w:r>
      <w:r>
        <w:t xml:space="preserve"> </w:t>
      </w:r>
      <w:r>
        <w:t xml:space="preserve">across DACH, Benelux, and France. Processing operates at scale within</w:t>
      </w:r>
      <w:r>
        <w:t xml:space="preserve"> </w:t>
      </w:r>
      <w:r>
        <w:t xml:space="preserve">the meaning of Article 35(3)(b) GDPR. Frequency: per-session event</w:t>
      </w:r>
      <w:r>
        <w:t xml:space="preserve"> </w:t>
      </w:r>
      <w:r>
        <w:t xml:space="preserve">writes; continuous during active user sessions.</w:t>
      </w:r>
    </w:p>
    <w:p>
      <w:pPr>
        <w:pStyle w:val="BodyText"/>
      </w:pPr>
      <w:r>
        <w:rPr>
          <w:b/>
          <w:bCs/>
        </w:rPr>
        <w:t xml:space="preserve">Context:</w:t>
      </w:r>
      <w:r>
        <w:t xml:space="preserve"> </w:t>
      </w:r>
      <w:r>
        <w:t xml:space="preserve">B2B analytics SDK deployed by an analytics vendor to</w:t>
      </w:r>
      <w:r>
        <w:t xml:space="preserve"> </w:t>
      </w:r>
      <w:r>
        <w:t xml:space="preserve">enterprise customers with EU legal entities. Enterprise customers</w:t>
      </w:r>
      <w:r>
        <w:t xml:space="preserve"> </w:t>
      </w:r>
      <w:r>
        <w:t xml:space="preserve">operate simultaneously under Austrian, German, Belgian, and French DPA</w:t>
      </w:r>
      <w:r>
        <w:t xml:space="preserve"> </w:t>
      </w:r>
      <w:r>
        <w:t xml:space="preserve">jurisdiction. The controller cannot rely on CNIL’s conditional</w:t>
      </w:r>
      <w:r>
        <w:t xml:space="preserve"> </w:t>
      </w:r>
      <w:r>
        <w:t xml:space="preserve">endorsement of server-side tagging because enterprise customers face</w:t>
      </w:r>
      <w:r>
        <w:t xml:space="preserve"> </w:t>
      </w:r>
      <w:r>
        <w:t xml:space="preserve">stricter enforcement in DACH and Benelux (Austrian DSB 2022; German SDM</w:t>
      </w:r>
      <w:r>
        <w:t xml:space="preserve"> </w:t>
      </w:r>
      <w:r>
        <w:t xml:space="preserve">unlinkability benchmark; Belgian DPA TCF rejection 2024).</w:t>
      </w:r>
    </w:p>
    <w:p>
      <w:pPr>
        <w:pStyle w:val="BodyText"/>
      </w:pPr>
      <w:r>
        <w:rPr>
          <w:b/>
          <w:bCs/>
        </w:rPr>
        <w:t xml:space="preserve">Cross-border processing:</w:t>
      </w:r>
      <w:r>
        <w:t xml:space="preserve"> </w:t>
      </w:r>
      <w:r>
        <w:t xml:space="preserve">Yes — processing occurs across EU</w:t>
      </w:r>
      <w:r>
        <w:t xml:space="preserve"> </w:t>
      </w:r>
      <w:r>
        <w:t xml:space="preserve">member states including DE, AT, BE, NL, and FR.</w:t>
      </w:r>
    </w:p>
    <w:p>
      <w:pPr>
        <w:pStyle w:val="BodyText"/>
      </w:pPr>
      <w:r>
        <w:rPr>
          <w:b/>
          <w:bCs/>
        </w:rPr>
        <w:t xml:space="preserve">Third country transfer:</w:t>
      </w:r>
      <w:r>
        <w:t xml:space="preserve"> </w:t>
      </w:r>
      <w:r>
        <w:t xml:space="preserve">No third-country transfer for canonical</w:t>
      </w:r>
      <w:r>
        <w:t xml:space="preserve"> </w:t>
      </w:r>
      <w:r>
        <w:t xml:space="preserve">ledger state or off-chain reconciling store (EU-region hosting). IDV</w:t>
      </w:r>
      <w:r>
        <w:t xml:space="preserve"> </w:t>
      </w:r>
      <w:r>
        <w:t xml:space="preserve">provider (the identity verification provider) — subject to separate</w:t>
      </w:r>
      <w:r>
        <w:t xml:space="preserve"> </w:t>
      </w:r>
      <w:r>
        <w:t xml:space="preserve">Chapter V assessment; SCCs applied where IDV provider operates outside</w:t>
      </w:r>
      <w:r>
        <w:t xml:space="preserve"> </w:t>
      </w:r>
      <w:r>
        <w:t xml:space="preserve">EEA.</w:t>
      </w:r>
    </w:p>
    <w:bookmarkEnd w:id="28"/>
    <w:bookmarkEnd w:id="29"/>
    <w:bookmarkStart w:id="30" w:name="functional-description"/>
    <w:p>
      <w:pPr>
        <w:numPr>
          <w:ilvl w:val="1"/>
          <w:numId w:val="1004"/>
        </w:numPr>
        <w:pStyle w:val="Heading3"/>
      </w:pPr>
      <w:r>
        <w:t xml:space="preserve">Functional Description</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872"/>
        <w:gridCol w:w="2808"/>
        <w:gridCol w:w="4680"/>
      </w:tblGrid>
      <w:tr>
        <w:trPr>
          <w:tblHeader w:val="on"/>
        </w:trPr>
        <w:tc>
          <w:tcPr>
            <w:tcW w:type="pct" w:w="100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Phase</w:t>
            </w:r>
          </w:p>
        </w:tc>
        <w:tc>
          <w:tcPr>
            <w:tcW w:type="pct" w:w="150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Operations</w:t>
            </w:r>
          </w:p>
        </w:tc>
        <w:tc>
          <w:tcPr>
            <w:tcW w:type="pct" w:w="250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Explanation</w:t>
            </w:r>
          </w:p>
        </w:tc>
      </w:tr>
      <w:tr>
        <w:tc>
          <w:tcPr>
            <w:tcW w:type="pct" w:w="1000"/>
            <w:tcBorders>
              <w:top w:val="single" w:sz="8" w:space="0" w:color="000000"/>
              <w:left w:val="single" w:sz="8" w:space="0" w:color="000000"/>
              <w:bottom w:val="single" w:sz="8" w:space="0" w:color="000000"/>
              <w:right w:val="single" w:sz="8" w:space="0" w:color="000000"/>
            </w:tcBorders>
          </w:tcPr>
          <w:p>
            <w:pPr>
              <w:pStyle w:val="Compact"/>
              <w:jc w:val="left"/>
            </w:pPr>
            <w:r>
              <w:t xml:space="preserve">Collection</w:t>
            </w:r>
          </w:p>
        </w:tc>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User behavioral event captured client-side via SDK</w:t>
            </w:r>
          </w:p>
        </w:tc>
        <w:tc>
          <w:tcPr>
            <w:tcW w:type="pct" w:w="2500"/>
            <w:tcBorders>
              <w:top w:val="single" w:sz="8" w:space="0" w:color="000000"/>
              <w:left w:val="single" w:sz="8" w:space="0" w:color="000000"/>
              <w:bottom w:val="single" w:sz="8" w:space="0" w:color="000000"/>
              <w:right w:val="single" w:sz="8" w:space="0" w:color="000000"/>
            </w:tcBorders>
          </w:tcPr>
          <w:p>
            <w:pPr>
              <w:pStyle w:val="Compact"/>
              <w:jc w:val="left"/>
            </w:pPr>
            <w:r>
              <w:t xml:space="preserve">SDK</w:t>
            </w:r>
            <w:r>
              <w:t xml:space="preserve"> </w:t>
            </w:r>
            <w:r>
              <w:t xml:space="preserve">generates direction-free session identifier and AES-256-GCM sealed</w:t>
            </w:r>
            <w:r>
              <w:t xml:space="preserve"> </w:t>
            </w:r>
            <w:r>
              <w:t xml:space="preserve">behavioral payload; no raw behavioral data transmitted without</w:t>
            </w:r>
            <w:r>
              <w:t xml:space="preserve"> </w:t>
            </w:r>
            <w:r>
              <w:t xml:space="preserve">sealing</w:t>
            </w:r>
          </w:p>
        </w:tc>
      </w:tr>
      <w:tr>
        <w:tc>
          <w:tcPr>
            <w:tcW w:type="pct" w:w="1000"/>
            <w:tcBorders>
              <w:top w:val="single" w:sz="8" w:space="0" w:color="000000"/>
              <w:left w:val="single" w:sz="8" w:space="0" w:color="000000"/>
              <w:bottom w:val="single" w:sz="8" w:space="0" w:color="000000"/>
              <w:right w:val="single" w:sz="8" w:space="0" w:color="000000"/>
            </w:tcBorders>
          </w:tcPr>
          <w:p>
            <w:pPr>
              <w:pStyle w:val="Compact"/>
              <w:jc w:val="left"/>
            </w:pPr>
            <w:r>
              <w:t xml:space="preserve">Use</w:t>
            </w:r>
          </w:p>
        </w:tc>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Two-list atomic write to distributed ledger</w:t>
            </w:r>
          </w:p>
        </w:tc>
        <w:tc>
          <w:tcPr>
            <w:tcW w:type="pct" w:w="2500"/>
            <w:tcBorders>
              <w:top w:val="single" w:sz="8" w:space="0" w:color="000000"/>
              <w:left w:val="single" w:sz="8" w:space="0" w:color="000000"/>
              <w:bottom w:val="single" w:sz="8" w:space="0" w:color="000000"/>
              <w:right w:val="single" w:sz="8" w:space="0" w:color="000000"/>
            </w:tcBorders>
          </w:tcPr>
          <w:p>
            <w:pPr>
              <w:pStyle w:val="Compact"/>
              <w:jc w:val="left"/>
            </w:pPr>
            <w:r>
              <w:t xml:space="preserve">List 1 (session ID +</w:t>
            </w:r>
            <w:r>
              <w:t xml:space="preserve"> </w:t>
            </w:r>
            <w:r>
              <w:t xml:space="preserve">sealed payload) and List 2 (identity hash) committed atomically;</w:t>
            </w:r>
            <w:r>
              <w:t xml:space="preserve"> </w:t>
            </w:r>
            <w:r>
              <w:t xml:space="preserve">rejection predicate enforced at validation layer before consensus</w:t>
            </w:r>
            <w:r>
              <w:t xml:space="preserve"> </w:t>
            </w:r>
            <w:r>
              <w:t xml:space="preserve">commit</w:t>
            </w:r>
          </w:p>
        </w:tc>
      </w:tr>
      <w:tr>
        <w:tc>
          <w:tcPr>
            <w:tcW w:type="pct" w:w="1000"/>
            <w:tcBorders>
              <w:top w:val="single" w:sz="8" w:space="0" w:color="000000"/>
              <w:left w:val="single" w:sz="8" w:space="0" w:color="000000"/>
              <w:bottom w:val="single" w:sz="8" w:space="0" w:color="000000"/>
              <w:right w:val="single" w:sz="8" w:space="0" w:color="000000"/>
            </w:tcBorders>
          </w:tcPr>
          <w:p>
            <w:pPr>
              <w:pStyle w:val="Compact"/>
              <w:jc w:val="left"/>
            </w:pPr>
            <w:r>
              <w:t xml:space="preserve">Storage</w:t>
            </w:r>
          </w:p>
        </w:tc>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Canonical ledger state + off-chain reconciling store</w:t>
            </w:r>
          </w:p>
        </w:tc>
        <w:tc>
          <w:tcPr>
            <w:tcW w:type="pct" w:w="2500"/>
            <w:tcBorders>
              <w:top w:val="single" w:sz="8" w:space="0" w:color="000000"/>
              <w:left w:val="single" w:sz="8" w:space="0" w:color="000000"/>
              <w:bottom w:val="single" w:sz="8" w:space="0" w:color="000000"/>
              <w:right w:val="single" w:sz="8" w:space="0" w:color="000000"/>
            </w:tcBorders>
          </w:tcPr>
          <w:p>
            <w:pPr>
              <w:pStyle w:val="Compact"/>
              <w:jc w:val="left"/>
            </w:pPr>
            <w:r>
              <w:t xml:space="preserve">Canonical ledger: disjoint List 1 and List 2 records only (no join key).</w:t>
            </w:r>
            <w:r>
              <w:t xml:space="preserve"> </w:t>
            </w:r>
            <w:r>
              <w:t xml:space="preserve">Off-chain (CockroachDB EU-region): per-user behavioral history,</w:t>
            </w:r>
            <w:r>
              <w:t xml:space="preserve"> </w:t>
            </w:r>
            <w:r>
              <w:t xml:space="preserve">identity-gated</w:t>
            </w:r>
          </w:p>
        </w:tc>
      </w:tr>
      <w:tr>
        <w:tc>
          <w:tcPr>
            <w:tcW w:type="pct" w:w="1000"/>
            <w:tcBorders>
              <w:top w:val="single" w:sz="8" w:space="0" w:color="000000"/>
              <w:left w:val="single" w:sz="8" w:space="0" w:color="000000"/>
              <w:bottom w:val="single" w:sz="8" w:space="0" w:color="000000"/>
              <w:right w:val="single" w:sz="8" w:space="0" w:color="000000"/>
            </w:tcBorders>
          </w:tcPr>
          <w:p>
            <w:pPr>
              <w:pStyle w:val="Compact"/>
              <w:jc w:val="left"/>
            </w:pPr>
            <w:r>
              <w:t xml:space="preserve">Sharing and Transfer</w:t>
            </w:r>
          </w:p>
        </w:tc>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User-authenticated reconciling retrieval only</w:t>
            </w:r>
          </w:p>
        </w:tc>
        <w:tc>
          <w:tcPr>
            <w:tcW w:type="pct" w:w="2500"/>
            <w:tcBorders>
              <w:top w:val="single" w:sz="8" w:space="0" w:color="000000"/>
              <w:left w:val="single" w:sz="8" w:space="0" w:color="000000"/>
              <w:bottom w:val="single" w:sz="8" w:space="0" w:color="000000"/>
              <w:right w:val="single" w:sz="8" w:space="0" w:color="000000"/>
            </w:tcBorders>
          </w:tcPr>
          <w:p>
            <w:pPr>
              <w:pStyle w:val="Compact"/>
              <w:jc w:val="left"/>
            </w:pPr>
            <w:r>
              <w:t xml:space="preserve">No operator-initiated sharing. User authenticates via IDV; reconciling</w:t>
            </w:r>
            <w:r>
              <w:t xml:space="preserve"> </w:t>
            </w:r>
            <w:r>
              <w:t xml:space="preserve">authority returns that user’s history only. Non-composable: no</w:t>
            </w:r>
            <w:r>
              <w:t xml:space="preserve"> </w:t>
            </w:r>
            <w:r>
              <w:t xml:space="preserve">cross-user queries</w:t>
            </w:r>
          </w:p>
        </w:tc>
      </w:tr>
      <w:tr>
        <w:tc>
          <w:tcPr>
            <w:tcW w:type="pct" w:w="1000"/>
            <w:tcBorders>
              <w:top w:val="single" w:sz="8" w:space="0" w:color="000000"/>
              <w:left w:val="single" w:sz="8" w:space="0" w:color="000000"/>
              <w:bottom w:val="single" w:sz="8" w:space="0" w:color="000000"/>
              <w:right w:val="single" w:sz="8" w:space="0" w:color="000000"/>
            </w:tcBorders>
          </w:tcPr>
          <w:p>
            <w:pPr>
              <w:pStyle w:val="Compact"/>
              <w:jc w:val="left"/>
            </w:pPr>
            <w:r>
              <w:t xml:space="preserve">Deletion and Destruction</w:t>
            </w:r>
          </w:p>
        </w:tc>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Credential-free rescission — atomic L1+L2</w:t>
            </w:r>
            <w:r>
              <w:t xml:space="preserve"> </w:t>
            </w:r>
            <w:r>
              <w:t xml:space="preserve">deletion</w:t>
            </w:r>
          </w:p>
        </w:tc>
        <w:tc>
          <w:tcPr>
            <w:tcW w:type="pct" w:w="2500"/>
            <w:tcBorders>
              <w:top w:val="single" w:sz="8" w:space="0" w:color="000000"/>
              <w:left w:val="single" w:sz="8" w:space="0" w:color="000000"/>
              <w:bottom w:val="single" w:sz="8" w:space="0" w:color="000000"/>
              <w:right w:val="single" w:sz="8" w:space="0" w:color="000000"/>
            </w:tcBorders>
          </w:tcPr>
          <w:p>
            <w:pPr>
              <w:pStyle w:val="Compact"/>
              <w:jc w:val="left"/>
            </w:pPr>
            <w:r>
              <w:t xml:space="preserve">User authenticates via biometric IDV; reconciling authority</w:t>
            </w:r>
            <w:r>
              <w:t xml:space="preserve"> </w:t>
            </w:r>
            <w:r>
              <w:t xml:space="preserve">co-signs deletion of both List 1 and List 2 records; count-match</w:t>
            </w:r>
            <w:r>
              <w:t xml:space="preserve"> </w:t>
            </w:r>
            <w:r>
              <w:t xml:space="preserve">invariant preserved post-deletion</w:t>
            </w:r>
          </w:p>
        </w:tc>
      </w:tr>
    </w:tbl>
    <w:bookmarkEnd w:id="30"/>
    <w:bookmarkStart w:id="31" w:name="Xe3c2d21b8fd48096ad3a1c32a4565ae6dfab55b"/>
    <w:p>
      <w:pPr>
        <w:numPr>
          <w:ilvl w:val="1"/>
          <w:numId w:val="1004"/>
        </w:numPr>
        <w:pStyle w:val="Heading3"/>
      </w:pPr>
      <w:r>
        <w:t xml:space="preserve">Means of Processing, Supporting Assets and Underlying</w:t>
      </w:r>
      <w:r>
        <w:t xml:space="preserve"> </w:t>
      </w:r>
      <w:r>
        <w:t xml:space="preserve">Architecture</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340"/>
        <w:gridCol w:w="2995"/>
        <w:gridCol w:w="4025"/>
      </w:tblGrid>
      <w:tr>
        <w:trPr>
          <w:tblHeader w:val="on"/>
        </w:trPr>
        <w:tc>
          <w:tcPr>
            <w:tcW w:type="pct" w:w="125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Asset Group</w:t>
            </w:r>
          </w:p>
        </w:tc>
        <w:tc>
          <w:tcPr>
            <w:tcW w:type="pct" w:w="160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Asset</w:t>
            </w:r>
          </w:p>
        </w:tc>
        <w:tc>
          <w:tcPr>
            <w:tcW w:type="pct" w:w="215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Role in Processing</w:t>
            </w:r>
          </w:p>
        </w:tc>
      </w:tr>
      <w:tr>
        <w:tc>
          <w:tcPr>
            <w:tcW w:type="pct" w:w="1250"/>
            <w:tcBorders>
              <w:top w:val="single" w:sz="8" w:space="0" w:color="000000"/>
              <w:left w:val="single" w:sz="8" w:space="0" w:color="000000"/>
              <w:bottom w:val="single" w:sz="8" w:space="0" w:color="000000"/>
              <w:right w:val="single" w:sz="8" w:space="0" w:color="000000"/>
            </w:tcBorders>
          </w:tcPr>
          <w:p>
            <w:pPr>
              <w:pStyle w:val="Compact"/>
              <w:jc w:val="left"/>
            </w:pPr>
            <w:r>
              <w:t xml:space="preserve">Validation layer</w:t>
            </w:r>
          </w:p>
        </w:tc>
        <w:tc>
          <w:tcPr>
            <w:tcW w:type="pct" w:w="1600"/>
            <w:tcBorders>
              <w:top w:val="single" w:sz="8" w:space="0" w:color="000000"/>
              <w:left w:val="single" w:sz="8" w:space="0" w:color="000000"/>
              <w:bottom w:val="single" w:sz="8" w:space="0" w:color="000000"/>
              <w:right w:val="single" w:sz="8" w:space="0" w:color="000000"/>
            </w:tcBorders>
          </w:tcPr>
          <w:p>
            <w:pPr>
              <w:pStyle w:val="Compact"/>
              <w:jc w:val="left"/>
            </w:pPr>
            <w:r>
              <w:t xml:space="preserve">Shyware state machine (Go binary; distributed ledger</w:t>
            </w:r>
            <w:r>
              <w:t xml:space="preserve"> </w:t>
            </w:r>
            <w:r>
              <w:t xml:space="preserve">node)</w:t>
            </w:r>
          </w:p>
        </w:tc>
        <w:tc>
          <w:tcPr>
            <w:tcW w:type="pct" w:w="2150"/>
            <w:tcBorders>
              <w:top w:val="single" w:sz="8" w:space="0" w:color="000000"/>
              <w:left w:val="single" w:sz="8" w:space="0" w:color="000000"/>
              <w:bottom w:val="single" w:sz="8" w:space="0" w:color="000000"/>
              <w:right w:val="single" w:sz="8" w:space="0" w:color="000000"/>
            </w:tcBorders>
          </w:tcPr>
          <w:p>
            <w:pPr>
              <w:pStyle w:val="Compact"/>
              <w:jc w:val="left"/>
            </w:pPr>
            <w:r>
              <w:t xml:space="preserve">Enforces rejection predicate before consensus commit; refuses</w:t>
            </w:r>
            <w:r>
              <w:t xml:space="preserve"> </w:t>
            </w:r>
            <w:r>
              <w:t xml:space="preserve">state transitions creating identity-payload association</w:t>
            </w:r>
          </w:p>
        </w:tc>
      </w:tr>
      <w:tr>
        <w:tc>
          <w:tcPr>
            <w:tcW w:type="pct" w:w="1250"/>
            <w:tcBorders>
              <w:top w:val="single" w:sz="8" w:space="0" w:color="000000"/>
              <w:left w:val="single" w:sz="8" w:space="0" w:color="000000"/>
              <w:bottom w:val="single" w:sz="8" w:space="0" w:color="000000"/>
              <w:right w:val="single" w:sz="8" w:space="0" w:color="000000"/>
            </w:tcBorders>
          </w:tcPr>
          <w:p>
            <w:pPr>
              <w:pStyle w:val="Compact"/>
              <w:jc w:val="left"/>
            </w:pPr>
            <w:r>
              <w:t xml:space="preserve">Sealing</w:t>
            </w:r>
          </w:p>
        </w:tc>
        <w:tc>
          <w:tcPr>
            <w:tcW w:type="pct" w:w="1600"/>
            <w:tcBorders>
              <w:top w:val="single" w:sz="8" w:space="0" w:color="000000"/>
              <w:left w:val="single" w:sz="8" w:space="0" w:color="000000"/>
              <w:bottom w:val="single" w:sz="8" w:space="0" w:color="000000"/>
              <w:right w:val="single" w:sz="8" w:space="0" w:color="000000"/>
            </w:tcBorders>
          </w:tcPr>
          <w:p>
            <w:pPr>
              <w:pStyle w:val="Compact"/>
              <w:jc w:val="left"/>
            </w:pPr>
            <w:r>
              <w:t xml:space="preserve">AES-256-GCM; sealer key (controller-held, HSM-backed)</w:t>
            </w:r>
          </w:p>
        </w:tc>
        <w:tc>
          <w:tcPr>
            <w:tcW w:type="pct" w:w="2150"/>
            <w:tcBorders>
              <w:top w:val="single" w:sz="8" w:space="0" w:color="000000"/>
              <w:left w:val="single" w:sz="8" w:space="0" w:color="000000"/>
              <w:bottom w:val="single" w:sz="8" w:space="0" w:color="000000"/>
              <w:right w:val="single" w:sz="8" w:space="0" w:color="000000"/>
            </w:tcBorders>
          </w:tcPr>
          <w:p>
            <w:pPr>
              <w:pStyle w:val="Compact"/>
              <w:jc w:val="left"/>
            </w:pPr>
            <w:r>
              <w:t xml:space="preserve">Seals</w:t>
            </w:r>
            <w:r>
              <w:t xml:space="preserve"> </w:t>
            </w:r>
            <w:r>
              <w:t xml:space="preserve">behavioral payload before write; sealer key never written to canonical</w:t>
            </w:r>
            <w:r>
              <w:t xml:space="preserve"> </w:t>
            </w:r>
            <w:r>
              <w:t xml:space="preserve">state</w:t>
            </w:r>
          </w:p>
        </w:tc>
      </w:tr>
      <w:tr>
        <w:tc>
          <w:tcPr>
            <w:tcW w:type="pct" w:w="1250"/>
            <w:tcBorders>
              <w:top w:val="single" w:sz="8" w:space="0" w:color="000000"/>
              <w:left w:val="single" w:sz="8" w:space="0" w:color="000000"/>
              <w:bottom w:val="single" w:sz="8" w:space="0" w:color="000000"/>
              <w:right w:val="single" w:sz="8" w:space="0" w:color="000000"/>
            </w:tcBorders>
          </w:tcPr>
          <w:p>
            <w:pPr>
              <w:pStyle w:val="Compact"/>
              <w:jc w:val="left"/>
            </w:pPr>
            <w:r>
              <w:t xml:space="preserve">Identity binding</w:t>
            </w:r>
          </w:p>
        </w:tc>
        <w:tc>
          <w:tcPr>
            <w:tcW w:type="pct" w:w="1600"/>
            <w:tcBorders>
              <w:top w:val="single" w:sz="8" w:space="0" w:color="000000"/>
              <w:left w:val="single" w:sz="8" w:space="0" w:color="000000"/>
              <w:bottom w:val="single" w:sz="8" w:space="0" w:color="000000"/>
              <w:right w:val="single" w:sz="8" w:space="0" w:color="000000"/>
            </w:tcBorders>
          </w:tcPr>
          <w:p>
            <w:pPr>
              <w:pStyle w:val="Compact"/>
              <w:jc w:val="left"/>
            </w:pPr>
            <w:r>
              <w:t xml:space="preserve">SHA-256(identity credential); IDV provider</w:t>
            </w:r>
          </w:p>
        </w:tc>
        <w:tc>
          <w:tcPr>
            <w:tcW w:type="pct" w:w="2150"/>
            <w:tcBorders>
              <w:top w:val="single" w:sz="8" w:space="0" w:color="000000"/>
              <w:left w:val="single" w:sz="8" w:space="0" w:color="000000"/>
              <w:bottom w:val="single" w:sz="8" w:space="0" w:color="000000"/>
              <w:right w:val="single" w:sz="8" w:space="0" w:color="000000"/>
            </w:tcBorders>
          </w:tcPr>
          <w:p>
            <w:pPr>
              <w:pStyle w:val="Compact"/>
              <w:jc w:val="left"/>
            </w:pPr>
            <w:r>
              <w:t xml:space="preserve">Derives</w:t>
            </w:r>
            <w:r>
              <w:t xml:space="preserve"> </w:t>
            </w:r>
            <w:r>
              <w:t xml:space="preserve">identity hash for List 2; raw credential not written to canonical</w:t>
            </w:r>
            <w:r>
              <w:t xml:space="preserve"> </w:t>
            </w:r>
            <w:r>
              <w:t xml:space="preserve">state</w:t>
            </w:r>
          </w:p>
        </w:tc>
      </w:tr>
      <w:tr>
        <w:tc>
          <w:tcPr>
            <w:tcW w:type="pct" w:w="1250"/>
            <w:tcBorders>
              <w:top w:val="single" w:sz="8" w:space="0" w:color="000000"/>
              <w:left w:val="single" w:sz="8" w:space="0" w:color="000000"/>
              <w:bottom w:val="single" w:sz="8" w:space="0" w:color="000000"/>
              <w:right w:val="single" w:sz="8" w:space="0" w:color="000000"/>
            </w:tcBorders>
          </w:tcPr>
          <w:p>
            <w:pPr>
              <w:pStyle w:val="Compact"/>
              <w:jc w:val="left"/>
            </w:pPr>
            <w:r>
              <w:t xml:space="preserve">Signing / attestation</w:t>
            </w:r>
          </w:p>
        </w:tc>
        <w:tc>
          <w:tcPr>
            <w:tcW w:type="pct" w:w="1600"/>
            <w:tcBorders>
              <w:top w:val="single" w:sz="8" w:space="0" w:color="000000"/>
              <w:left w:val="single" w:sz="8" w:space="0" w:color="000000"/>
              <w:bottom w:val="single" w:sz="8" w:space="0" w:color="000000"/>
              <w:right w:val="single" w:sz="8" w:space="0" w:color="000000"/>
            </w:tcBorders>
          </w:tcPr>
          <w:p>
            <w:pPr>
              <w:pStyle w:val="Compact"/>
              <w:jc w:val="left"/>
            </w:pPr>
            <w:r>
              <w:t xml:space="preserve">AWS KMS (ECC_NIST_P256, FIPS 140-3 L3) or AWS</w:t>
            </w:r>
            <w:r>
              <w:t xml:space="preserve"> </w:t>
            </w:r>
            <w:r>
              <w:t xml:space="preserve">CloudHSM</w:t>
            </w:r>
          </w:p>
        </w:tc>
        <w:tc>
          <w:tcPr>
            <w:tcW w:type="pct" w:w="2150"/>
            <w:tcBorders>
              <w:top w:val="single" w:sz="8" w:space="0" w:color="000000"/>
              <w:left w:val="single" w:sz="8" w:space="0" w:color="000000"/>
              <w:bottom w:val="single" w:sz="8" w:space="0" w:color="000000"/>
              <w:right w:val="single" w:sz="8" w:space="0" w:color="000000"/>
            </w:tcBorders>
          </w:tcPr>
          <w:p>
            <w:pPr>
              <w:pStyle w:val="Compact"/>
              <w:jc w:val="left"/>
            </w:pPr>
            <w:r>
              <w:t xml:space="preserve">Signs disjoint Merkle roots at period close; public key</w:t>
            </w:r>
            <w:r>
              <w:t xml:space="preserve"> </w:t>
            </w:r>
            <w:r>
              <w:t xml:space="preserve">enables third-party verification</w:t>
            </w:r>
          </w:p>
        </w:tc>
      </w:tr>
      <w:tr>
        <w:tc>
          <w:tcPr>
            <w:tcW w:type="pct" w:w="1250"/>
            <w:tcBorders>
              <w:top w:val="single" w:sz="8" w:space="0" w:color="000000"/>
              <w:left w:val="single" w:sz="8" w:space="0" w:color="000000"/>
              <w:bottom w:val="single" w:sz="8" w:space="0" w:color="000000"/>
              <w:right w:val="single" w:sz="8" w:space="0" w:color="000000"/>
            </w:tcBorders>
          </w:tcPr>
          <w:p>
            <w:pPr>
              <w:pStyle w:val="Compact"/>
              <w:jc w:val="left"/>
            </w:pPr>
            <w:r>
              <w:t xml:space="preserve">Off-chain store</w:t>
            </w:r>
          </w:p>
        </w:tc>
        <w:tc>
          <w:tcPr>
            <w:tcW w:type="pct" w:w="1600"/>
            <w:tcBorders>
              <w:top w:val="single" w:sz="8" w:space="0" w:color="000000"/>
              <w:left w:val="single" w:sz="8" w:space="0" w:color="000000"/>
              <w:bottom w:val="single" w:sz="8" w:space="0" w:color="000000"/>
              <w:right w:val="single" w:sz="8" w:space="0" w:color="000000"/>
            </w:tcBorders>
          </w:tcPr>
          <w:p>
            <w:pPr>
              <w:pStyle w:val="Compact"/>
              <w:jc w:val="left"/>
            </w:pPr>
            <w:r>
              <w:t xml:space="preserve">CockroachDB (EU-region, encryption at rest)</w:t>
            </w:r>
          </w:p>
        </w:tc>
        <w:tc>
          <w:tcPr>
            <w:tcW w:type="pct" w:w="2150"/>
            <w:tcBorders>
              <w:top w:val="single" w:sz="8" w:space="0" w:color="000000"/>
              <w:left w:val="single" w:sz="8" w:space="0" w:color="000000"/>
              <w:bottom w:val="single" w:sz="8" w:space="0" w:color="000000"/>
              <w:right w:val="single" w:sz="8" w:space="0" w:color="000000"/>
            </w:tcBorders>
          </w:tcPr>
          <w:p>
            <w:pPr>
              <w:pStyle w:val="Compact"/>
              <w:jc w:val="left"/>
            </w:pPr>
            <w:r>
              <w:t xml:space="preserve">Stores</w:t>
            </w:r>
            <w:r>
              <w:t xml:space="preserve"> </w:t>
            </w:r>
            <w:r>
              <w:t xml:space="preserve">per-user behavioral history; identity-gated, non-composable API only</w:t>
            </w:r>
          </w:p>
        </w:tc>
      </w:tr>
      <w:tr>
        <w:tc>
          <w:tcPr>
            <w:tcW w:type="pct" w:w="1250"/>
            <w:tcBorders>
              <w:top w:val="single" w:sz="8" w:space="0" w:color="000000"/>
              <w:left w:val="single" w:sz="8" w:space="0" w:color="000000"/>
              <w:bottom w:val="single" w:sz="8" w:space="0" w:color="000000"/>
              <w:right w:val="single" w:sz="8" w:space="0" w:color="000000"/>
            </w:tcBorders>
          </w:tcPr>
          <w:p>
            <w:pPr>
              <w:pStyle w:val="Compact"/>
              <w:jc w:val="left"/>
            </w:pPr>
            <w:r>
              <w:t xml:space="preserve">Identity / recovery</w:t>
            </w:r>
          </w:p>
        </w:tc>
        <w:tc>
          <w:tcPr>
            <w:tcW w:type="pct" w:w="1600"/>
            <w:tcBorders>
              <w:top w:val="single" w:sz="8" w:space="0" w:color="000000"/>
              <w:left w:val="single" w:sz="8" w:space="0" w:color="000000"/>
              <w:bottom w:val="single" w:sz="8" w:space="0" w:color="000000"/>
              <w:right w:val="single" w:sz="8" w:space="0" w:color="000000"/>
            </w:tcBorders>
          </w:tcPr>
          <w:p>
            <w:pPr>
              <w:pStyle w:val="Compact"/>
              <w:jc w:val="left"/>
            </w:pPr>
            <w:r>
              <w:t xml:space="preserve">Identity verification provider</w:t>
            </w:r>
          </w:p>
        </w:tc>
        <w:tc>
          <w:tcPr>
            <w:tcW w:type="pct" w:w="2150"/>
            <w:tcBorders>
              <w:top w:val="single" w:sz="8" w:space="0" w:color="000000"/>
              <w:left w:val="single" w:sz="8" w:space="0" w:color="000000"/>
              <w:bottom w:val="single" w:sz="8" w:space="0" w:color="000000"/>
              <w:right w:val="single" w:sz="8" w:space="0" w:color="000000"/>
            </w:tcBorders>
          </w:tcPr>
          <w:p>
            <w:pPr>
              <w:pStyle w:val="Compact"/>
              <w:jc w:val="left"/>
            </w:pPr>
            <w:r>
              <w:t xml:space="preserve">Biometric</w:t>
            </w:r>
            <w:r>
              <w:t xml:space="preserve"> </w:t>
            </w:r>
            <w:r>
              <w:t xml:space="preserve">re-derivation for user-authenticated retrieval and credential-free</w:t>
            </w:r>
            <w:r>
              <w:t xml:space="preserve"> </w:t>
            </w:r>
            <w:r>
              <w:t xml:space="preserve">rescission</w:t>
            </w:r>
          </w:p>
        </w:tc>
      </w:tr>
      <w:tr>
        <w:tc>
          <w:tcPr>
            <w:tcW w:type="pct" w:w="1250"/>
            <w:tcBorders>
              <w:top w:val="single" w:sz="8" w:space="0" w:color="000000"/>
              <w:left w:val="single" w:sz="8" w:space="0" w:color="000000"/>
              <w:bottom w:val="single" w:sz="8" w:space="0" w:color="000000"/>
              <w:right w:val="single" w:sz="8" w:space="0" w:color="000000"/>
            </w:tcBorders>
          </w:tcPr>
          <w:p>
            <w:pPr>
              <w:pStyle w:val="Compact"/>
              <w:jc w:val="left"/>
            </w:pPr>
            <w:r>
              <w:t xml:space="preserve">SDK distribution</w:t>
            </w:r>
          </w:p>
        </w:tc>
        <w:tc>
          <w:tcPr>
            <w:tcW w:type="pct" w:w="1600"/>
            <w:tcBorders>
              <w:top w:val="single" w:sz="8" w:space="0" w:color="000000"/>
              <w:left w:val="single" w:sz="8" w:space="0" w:color="000000"/>
              <w:bottom w:val="single" w:sz="8" w:space="0" w:color="000000"/>
              <w:right w:val="single" w:sz="8" w:space="0" w:color="000000"/>
            </w:tcBorders>
          </w:tcPr>
          <w:p>
            <w:pPr>
              <w:pStyle w:val="Compact"/>
              <w:jc w:val="left"/>
            </w:pPr>
            <w:r>
              <w:t xml:space="preserve">Signed SDK releases; reproducible builds</w:t>
            </w:r>
          </w:p>
        </w:tc>
        <w:tc>
          <w:tcPr>
            <w:tcW w:type="pct" w:w="2150"/>
            <w:tcBorders>
              <w:top w:val="single" w:sz="8" w:space="0" w:color="000000"/>
              <w:left w:val="single" w:sz="8" w:space="0" w:color="000000"/>
              <w:bottom w:val="single" w:sz="8" w:space="0" w:color="000000"/>
              <w:right w:val="single" w:sz="8" w:space="0" w:color="000000"/>
            </w:tcBorders>
          </w:tcPr>
          <w:p>
            <w:pPr>
              <w:pStyle w:val="Compact"/>
              <w:jc w:val="left"/>
            </w:pPr>
            <w:r>
              <w:t xml:space="preserve">Integrity</w:t>
            </w:r>
            <w:r>
              <w:t xml:space="preserve"> </w:t>
            </w:r>
            <w:r>
              <w:t xml:space="preserve">of rejection predicate enforced via supply chain controls</w:t>
            </w:r>
          </w:p>
        </w:tc>
      </w:tr>
    </w:tbl>
    <w:bookmarkEnd w:id="31"/>
    <w:bookmarkStart w:id="32" w:name="X722b745bf952253b667a54ecdc9e7f0b5687faf"/>
    <w:p>
      <w:pPr>
        <w:numPr>
          <w:ilvl w:val="1"/>
          <w:numId w:val="1004"/>
        </w:numPr>
        <w:pStyle w:val="Heading3"/>
      </w:pPr>
      <w:r>
        <w:t xml:space="preserve">Compliance with Approved Codes of</w:t>
      </w:r>
      <w:r>
        <w:t xml:space="preserve"> </w:t>
      </w:r>
      <w:r>
        <w:t xml:space="preserve">Conduct</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3744"/>
        <w:gridCol w:w="5616"/>
      </w:tblGrid>
      <w:tr>
        <w:trPr>
          <w:tblHeader w:val="on"/>
        </w:trPr>
        <w:tc>
          <w:tcPr>
            <w:tcW w:type="pct" w:w="200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Code of Conduct</w:t>
            </w:r>
          </w:p>
        </w:tc>
        <w:tc>
          <w:tcPr>
            <w:tcW w:type="pct" w:w="300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Assessment</w:t>
            </w:r>
          </w:p>
        </w:tc>
      </w:tr>
      <w:tr>
        <w:tc>
          <w:tcPr>
            <w:tcW w:type="pct" w:w="2000"/>
            <w:tcBorders>
              <w:top w:val="single" w:sz="8" w:space="0" w:color="000000"/>
              <w:left w:val="single" w:sz="8" w:space="0" w:color="000000"/>
              <w:bottom w:val="single" w:sz="8" w:space="0" w:color="000000"/>
              <w:right w:val="single" w:sz="8" w:space="0" w:color="000000"/>
            </w:tcBorders>
          </w:tcPr>
          <w:p>
            <w:pPr>
              <w:pStyle w:val="Compact"/>
              <w:jc w:val="left"/>
            </w:pPr>
            <w:r>
              <w:t xml:space="preserve">IAB Europe TCF v2.2</w:t>
            </w:r>
          </w:p>
        </w:tc>
        <w:tc>
          <w:tcPr>
            <w:tcW w:type="pct" w:w="3000"/>
            <w:tcBorders>
              <w:top w:val="single" w:sz="8" w:space="0" w:color="000000"/>
              <w:left w:val="single" w:sz="8" w:space="0" w:color="000000"/>
              <w:bottom w:val="single" w:sz="8" w:space="0" w:color="000000"/>
              <w:right w:val="single" w:sz="8" w:space="0" w:color="000000"/>
            </w:tcBorders>
          </w:tcPr>
          <w:p>
            <w:pPr>
              <w:pStyle w:val="Compact"/>
              <w:jc w:val="left"/>
            </w:pPr>
            <w:r>
              <w:t xml:space="preserve">Not relied upon. Belgian DPA (2024) and Dutch DPA</w:t>
            </w:r>
            <w:r>
              <w:t xml:space="preserve"> </w:t>
            </w:r>
            <w:r>
              <w:t xml:space="preserve">(2025) found IAB TCF structurally incompatible with GDPR for behavioral</w:t>
            </w:r>
            <w:r>
              <w:t xml:space="preserve"> </w:t>
            </w:r>
            <w:r>
              <w:t xml:space="preserve">tracking. Controller relies on Article 6(1)(f) legitimate interests and</w:t>
            </w:r>
            <w:r>
              <w:t xml:space="preserve"> </w:t>
            </w:r>
            <w:r>
              <w:t xml:space="preserve">architectural minimization.</w:t>
            </w:r>
          </w:p>
        </w:tc>
      </w:tr>
      <w:tr>
        <w:tc>
          <w:tcPr>
            <w:tcW w:type="pct" w:w="2000"/>
            <w:tcBorders>
              <w:top w:val="single" w:sz="8" w:space="0" w:color="000000"/>
              <w:left w:val="single" w:sz="8" w:space="0" w:color="000000"/>
              <w:bottom w:val="single" w:sz="8" w:space="0" w:color="000000"/>
              <w:right w:val="single" w:sz="8" w:space="0" w:color="000000"/>
            </w:tcBorders>
          </w:tcPr>
          <w:p>
            <w:pPr>
              <w:pStyle w:val="Compact"/>
              <w:jc w:val="left"/>
            </w:pPr>
            <w:r>
              <w:t xml:space="preserve">Cloud infrastructure provider code of conduct</w:t>
            </w:r>
          </w:p>
        </w:tc>
        <w:tc>
          <w:tcPr>
            <w:tcW w:type="pct" w:w="3000"/>
            <w:tcBorders>
              <w:top w:val="single" w:sz="8" w:space="0" w:color="000000"/>
              <w:left w:val="single" w:sz="8" w:space="0" w:color="000000"/>
              <w:bottom w:val="single" w:sz="8" w:space="0" w:color="000000"/>
              <w:right w:val="single" w:sz="8" w:space="0" w:color="000000"/>
            </w:tcBorders>
          </w:tcPr>
          <w:p>
            <w:pPr>
              <w:pStyle w:val="Compact"/>
              <w:jc w:val="left"/>
            </w:pPr>
            <w:r>
              <w:t xml:space="preserve">Not applicable</w:t>
            </w:r>
          </w:p>
        </w:tc>
      </w:tr>
    </w:tbl>
    <w:p>
      <w:r>
        <w:pict>
          <v:rect style="width:0;height:1.5pt" o:hralign="center" o:hrstd="t" o:hr="t"/>
        </w:pict>
      </w:r>
    </w:p>
    <w:bookmarkEnd w:id="32"/>
    <w:bookmarkEnd w:id="33"/>
    <w:bookmarkStart w:id="46" w:name="analysis-of-the-processing"/>
    <w:p>
      <w:pPr>
        <w:numPr>
          <w:ilvl w:val="0"/>
          <w:numId w:val="1004"/>
        </w:numPr>
        <w:pStyle w:val="Heading2"/>
      </w:pPr>
      <w:r>
        <w:t xml:space="preserve">ANALYSIS OF THE</w:t>
      </w:r>
      <w:r>
        <w:t xml:space="preserve"> </w:t>
      </w:r>
      <w:r>
        <w:t xml:space="preserve">PROCESSING</w:t>
      </w:r>
    </w:p>
    <w:bookmarkStart w:id="36" w:name="lawfulness-of-the-processing"/>
    <w:p>
      <w:pPr>
        <w:numPr>
          <w:ilvl w:val="1"/>
          <w:numId w:val="1004"/>
        </w:numPr>
        <w:pStyle w:val="Heading3"/>
      </w:pPr>
      <w:r>
        <w:t xml:space="preserve">Lawfulness of the</w:t>
      </w:r>
      <w:r>
        <w:t xml:space="preserve"> </w:t>
      </w:r>
      <w:r>
        <w:t xml:space="preserve">Processing</w:t>
      </w:r>
    </w:p>
    <w:bookmarkStart w:id="34" w:name="legal-basis"/>
    <w:p>
      <w:pPr>
        <w:numPr>
          <w:ilvl w:val="2"/>
          <w:numId w:val="1004"/>
        </w:numPr>
        <w:pStyle w:val="Heading4"/>
      </w:pPr>
      <w:r>
        <w:t xml:space="preserve">Legal Basis</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434"/>
        <w:gridCol w:w="2621"/>
        <w:gridCol w:w="4306"/>
      </w:tblGrid>
      <w:tr>
        <w:trPr>
          <w:tblHeader w:val="on"/>
        </w:trPr>
        <w:tc>
          <w:tcPr>
            <w:tcW w:type="pct" w:w="130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Purpose</w:t>
            </w:r>
          </w:p>
        </w:tc>
        <w:tc>
          <w:tcPr>
            <w:tcW w:type="pct" w:w="140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Legal Basis (Article 6(1) GDPR)</w:t>
            </w:r>
          </w:p>
        </w:tc>
        <w:tc>
          <w:tcPr>
            <w:tcW w:type="pct" w:w="230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Justification</w:t>
            </w:r>
          </w:p>
        </w:tc>
      </w:tr>
      <w:tr>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Aggregate behavioral analytics</w:t>
            </w:r>
          </w:p>
        </w:tc>
        <w:tc>
          <w:tcPr>
            <w:tcW w:type="pct" w:w="1400"/>
            <w:tcBorders>
              <w:top w:val="single" w:sz="8" w:space="0" w:color="000000"/>
              <w:left w:val="single" w:sz="8" w:space="0" w:color="000000"/>
              <w:bottom w:val="single" w:sz="8" w:space="0" w:color="000000"/>
              <w:right w:val="single" w:sz="8" w:space="0" w:color="000000"/>
            </w:tcBorders>
          </w:tcPr>
          <w:p>
            <w:pPr>
              <w:pStyle w:val="Compact"/>
              <w:jc w:val="left"/>
            </w:pPr>
            <w:r>
              <w:t xml:space="preserve">(f) Legitimate interests</w:t>
            </w:r>
          </w:p>
        </w:tc>
        <w:tc>
          <w:tcPr>
            <w:tcW w:type="pct" w:w="2300"/>
            <w:tcBorders>
              <w:top w:val="single" w:sz="8" w:space="0" w:color="000000"/>
              <w:left w:val="single" w:sz="8" w:space="0" w:color="000000"/>
              <w:bottom w:val="single" w:sz="8" w:space="0" w:color="000000"/>
              <w:right w:val="single" w:sz="8" w:space="0" w:color="000000"/>
            </w:tcBorders>
          </w:tcPr>
          <w:p>
            <w:pPr>
              <w:pStyle w:val="Compact"/>
              <w:jc w:val="left"/>
            </w:pPr>
            <w:r>
              <w:t xml:space="preserve">Legitimate</w:t>
            </w:r>
            <w:r>
              <w:t xml:space="preserve"> </w:t>
            </w:r>
            <w:r>
              <w:t xml:space="preserve">interest: product improvement, service quality. Balancing test: data</w:t>
            </w:r>
            <w:r>
              <w:t xml:space="preserve"> </w:t>
            </w:r>
            <w:r>
              <w:t xml:space="preserve">subject impact is structurally minimized — identity is not linkable to</w:t>
            </w:r>
            <w:r>
              <w:t xml:space="preserve"> </w:t>
            </w:r>
            <w:r>
              <w:t xml:space="preserve">behavior in canonical state; operator-level enumeration is</w:t>
            </w:r>
            <w:r>
              <w:t xml:space="preserve"> </w:t>
            </w:r>
            <w:r>
              <w:t xml:space="preserve">architecturally unavailable. Outweighs data subject privacy interest.</w:t>
            </w:r>
          </w:p>
        </w:tc>
      </w:tr>
      <w:tr>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Identity verification / sybil resistance</w:t>
            </w:r>
          </w:p>
        </w:tc>
        <w:tc>
          <w:tcPr>
            <w:tcW w:type="pct" w:w="1400"/>
            <w:tcBorders>
              <w:top w:val="single" w:sz="8" w:space="0" w:color="000000"/>
              <w:left w:val="single" w:sz="8" w:space="0" w:color="000000"/>
              <w:bottom w:val="single" w:sz="8" w:space="0" w:color="000000"/>
              <w:right w:val="single" w:sz="8" w:space="0" w:color="000000"/>
            </w:tcBorders>
          </w:tcPr>
          <w:p>
            <w:pPr>
              <w:pStyle w:val="Compact"/>
              <w:jc w:val="left"/>
            </w:pPr>
            <w:r>
              <w:t xml:space="preserve">(f) Legitimate interests /</w:t>
            </w:r>
            <w:r>
              <w:t xml:space="preserve"> </w:t>
            </w:r>
            <w:r>
              <w:t xml:space="preserve">(b) Contract performance</w:t>
            </w:r>
          </w:p>
        </w:tc>
        <w:tc>
          <w:tcPr>
            <w:tcW w:type="pct" w:w="2300"/>
            <w:tcBorders>
              <w:top w:val="single" w:sz="8" w:space="0" w:color="000000"/>
              <w:left w:val="single" w:sz="8" w:space="0" w:color="000000"/>
              <w:bottom w:val="single" w:sz="8" w:space="0" w:color="000000"/>
              <w:right w:val="single" w:sz="8" w:space="0" w:color="000000"/>
            </w:tcBorders>
          </w:tcPr>
          <w:p>
            <w:pPr>
              <w:pStyle w:val="Compact"/>
              <w:jc w:val="left"/>
            </w:pPr>
            <w:r>
              <w:t xml:space="preserve">Necessary for service integrity. Identity</w:t>
            </w:r>
            <w:r>
              <w:t xml:space="preserve"> </w:t>
            </w:r>
            <w:r>
              <w:t xml:space="preserve">hash reveals no behavioral content.</w:t>
            </w:r>
          </w:p>
        </w:tc>
      </w:tr>
      <w:tr>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Period-close attestation</w:t>
            </w:r>
          </w:p>
        </w:tc>
        <w:tc>
          <w:tcPr>
            <w:tcW w:type="pct" w:w="1400"/>
            <w:tcBorders>
              <w:top w:val="single" w:sz="8" w:space="0" w:color="000000"/>
              <w:left w:val="single" w:sz="8" w:space="0" w:color="000000"/>
              <w:bottom w:val="single" w:sz="8" w:space="0" w:color="000000"/>
              <w:right w:val="single" w:sz="8" w:space="0" w:color="000000"/>
            </w:tcBorders>
          </w:tcPr>
          <w:p>
            <w:pPr>
              <w:pStyle w:val="Compact"/>
              <w:jc w:val="left"/>
            </w:pPr>
            <w:r>
              <w:t xml:space="preserve">(f) Legitimate interests / (c) Legal</w:t>
            </w:r>
            <w:r>
              <w:t xml:space="preserve"> </w:t>
            </w:r>
            <w:r>
              <w:t xml:space="preserve">obligation</w:t>
            </w:r>
          </w:p>
        </w:tc>
        <w:tc>
          <w:tcPr>
            <w:tcW w:type="pct" w:w="2300"/>
            <w:tcBorders>
              <w:top w:val="single" w:sz="8" w:space="0" w:color="000000"/>
              <w:left w:val="single" w:sz="8" w:space="0" w:color="000000"/>
              <w:bottom w:val="single" w:sz="8" w:space="0" w:color="000000"/>
              <w:right w:val="single" w:sz="8" w:space="0" w:color="000000"/>
            </w:tcBorders>
          </w:tcPr>
          <w:p>
            <w:pPr>
              <w:pStyle w:val="Compact"/>
              <w:jc w:val="left"/>
            </w:pPr>
            <w:r>
              <w:t xml:space="preserve">Regulatory audit readiness; aggregate data only; no</w:t>
            </w:r>
            <w:r>
              <w:t xml:space="preserve"> </w:t>
            </w:r>
            <w:r>
              <w:t xml:space="preserve">individual linkage.</w:t>
            </w:r>
          </w:p>
        </w:tc>
      </w:tr>
      <w:tr>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User-authenticated history retrieval</w:t>
            </w:r>
          </w:p>
        </w:tc>
        <w:tc>
          <w:tcPr>
            <w:tcW w:type="pct" w:w="1400"/>
            <w:tcBorders>
              <w:top w:val="single" w:sz="8" w:space="0" w:color="000000"/>
              <w:left w:val="single" w:sz="8" w:space="0" w:color="000000"/>
              <w:bottom w:val="single" w:sz="8" w:space="0" w:color="000000"/>
              <w:right w:val="single" w:sz="8" w:space="0" w:color="000000"/>
            </w:tcBorders>
          </w:tcPr>
          <w:p>
            <w:pPr>
              <w:pStyle w:val="Compact"/>
              <w:jc w:val="left"/>
            </w:pPr>
            <w:r>
              <w:t xml:space="preserve">(b) Contract performance</w:t>
            </w:r>
          </w:p>
        </w:tc>
        <w:tc>
          <w:tcPr>
            <w:tcW w:type="pct" w:w="2300"/>
            <w:tcBorders>
              <w:top w:val="single" w:sz="8" w:space="0" w:color="000000"/>
              <w:left w:val="single" w:sz="8" w:space="0" w:color="000000"/>
              <w:bottom w:val="single" w:sz="8" w:space="0" w:color="000000"/>
              <w:right w:val="single" w:sz="8" w:space="0" w:color="000000"/>
            </w:tcBorders>
          </w:tcPr>
          <w:p>
            <w:pPr>
              <w:pStyle w:val="Compact"/>
              <w:jc w:val="left"/>
            </w:pPr>
            <w:r>
              <w:t xml:space="preserve">User</w:t>
            </w:r>
            <w:r>
              <w:t xml:space="preserve"> </w:t>
            </w:r>
            <w:r>
              <w:t xml:space="preserve">requests own data as part of service. User-initiated only; operator</w:t>
            </w:r>
            <w:r>
              <w:t xml:space="preserve"> </w:t>
            </w:r>
            <w:r>
              <w:t xml:space="preserve">cannot initiate.</w:t>
            </w:r>
          </w:p>
        </w:tc>
      </w:tr>
    </w:tbl>
    <w:p>
      <w:pPr>
        <w:pStyle w:val="BodyText"/>
      </w:pPr>
      <w:r>
        <w:rPr>
          <w:b/>
          <w:bCs/>
        </w:rPr>
        <w:t xml:space="preserve">Consent basis excluded:</w:t>
      </w:r>
      <w:r>
        <w:t xml:space="preserve"> </w:t>
      </w:r>
      <w:r>
        <w:t xml:space="preserve">Controller does not rely on Article</w:t>
      </w:r>
      <w:r>
        <w:t xml:space="preserve"> </w:t>
      </w:r>
      <w:r>
        <w:t xml:space="preserve">6(1)(a) consent for behavioral analytics. Consent is systematically</w:t>
      </w:r>
      <w:r>
        <w:t xml:space="preserve"> </w:t>
      </w:r>
      <w:r>
        <w:t xml:space="preserve">rejected by EU DPAs as a valid basis for behavioral profiling when</w:t>
      </w:r>
      <w:r>
        <w:t xml:space="preserve"> </w:t>
      </w:r>
      <w:r>
        <w:t xml:space="preserve">effectively a condition of service access. See: LinkedIn behavioral</w:t>
      </w:r>
      <w:r>
        <w:t xml:space="preserve"> </w:t>
      </w:r>
      <w:r>
        <w:t xml:space="preserve">advertising fine — IE DPA (Oct 2024, €310M); Meta behavioral</w:t>
      </w:r>
      <w:r>
        <w:t xml:space="preserve"> </w:t>
      </w:r>
      <w:r>
        <w:t xml:space="preserve">advertising fine (2023, €390M). Structural minimization under legitimate</w:t>
      </w:r>
      <w:r>
        <w:t xml:space="preserve"> </w:t>
      </w:r>
      <w:r>
        <w:t xml:space="preserve">interests is the legally preferred basis.</w:t>
      </w:r>
    </w:p>
    <w:bookmarkEnd w:id="34"/>
    <w:bookmarkStart w:id="35" w:name="reasons-to-lift-processing-prohibition"/>
    <w:p>
      <w:pPr>
        <w:numPr>
          <w:ilvl w:val="2"/>
          <w:numId w:val="1004"/>
        </w:numPr>
        <w:pStyle w:val="Heading4"/>
      </w:pPr>
      <w:r>
        <w:t xml:space="preserve">Reasons to Lift Processing</w:t>
      </w:r>
      <w:r>
        <w:t xml:space="preserve"> </w:t>
      </w:r>
      <w:r>
        <w:t xml:space="preserve">Prohibition</w:t>
      </w:r>
    </w:p>
    <w:p>
      <w:pPr>
        <w:pStyle w:val="FirstParagraph"/>
      </w:pPr>
      <w:r>
        <w:t xml:space="preserve">Not applicable. No special category personal data (Article 9 GDPR) is</w:t>
      </w:r>
      <w:r>
        <w:t xml:space="preserve"> </w:t>
      </w:r>
      <w:r>
        <w:t xml:space="preserve">processed. Identity hashes are pseudonymous identifiers. Biometric data</w:t>
      </w:r>
      <w:r>
        <w:t xml:space="preserve"> </w:t>
      </w:r>
      <w:r>
        <w:t xml:space="preserve">is processed exclusively by the IDV provider under a separate legal</w:t>
      </w:r>
      <w:r>
        <w:t xml:space="preserve"> </w:t>
      </w:r>
      <w:r>
        <w:t xml:space="preserve">basis and is not transmitted to or stored by the controller.</w:t>
      </w:r>
    </w:p>
    <w:bookmarkEnd w:id="35"/>
    <w:bookmarkEnd w:id="36"/>
    <w:bookmarkStart w:id="39" w:name="Xa5f5b7b2e8e10022b2703a452ac532eff7a6137"/>
    <w:p>
      <w:pPr>
        <w:numPr>
          <w:ilvl w:val="1"/>
          <w:numId w:val="1004"/>
        </w:numPr>
        <w:pStyle w:val="Heading3"/>
      </w:pPr>
      <w:r>
        <w:t xml:space="preserve">Data Minimisation, Retention Periods, and Data</w:t>
      </w:r>
      <w:r>
        <w:t xml:space="preserve"> </w:t>
      </w:r>
      <w:r>
        <w:t xml:space="preserve">Quality</w:t>
      </w:r>
    </w:p>
    <w:bookmarkStart w:id="37" w:name="data-minimisation-and-retention-periods"/>
    <w:p>
      <w:pPr>
        <w:numPr>
          <w:ilvl w:val="2"/>
          <w:numId w:val="1004"/>
        </w:numPr>
        <w:pStyle w:val="Heading4"/>
      </w:pPr>
      <w:r>
        <w:t xml:space="preserve">Data Minimisation and Retention</w:t>
      </w:r>
      <w:r>
        <w:t xml:space="preserve"> </w:t>
      </w:r>
      <w:r>
        <w:t xml:space="preserve">Periods</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778"/>
        <w:gridCol w:w="1872"/>
        <w:gridCol w:w="1966"/>
        <w:gridCol w:w="1778"/>
        <w:gridCol w:w="1966"/>
      </w:tblGrid>
      <w:tr>
        <w:trPr>
          <w:tblHeader w:val="on"/>
        </w:trPr>
        <w:tc>
          <w:tcPr>
            <w:tcW w:type="pct" w:w="95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Personal Data Item</w:t>
            </w:r>
          </w:p>
        </w:tc>
        <w:tc>
          <w:tcPr>
            <w:tcW w:type="pct" w:w="100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Justification</w:t>
            </w:r>
          </w:p>
        </w:tc>
        <w:tc>
          <w:tcPr>
            <w:tcW w:type="pct" w:w="105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Recipients</w:t>
            </w:r>
          </w:p>
        </w:tc>
        <w:tc>
          <w:tcPr>
            <w:tcW w:type="pct" w:w="95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Retention Period</w:t>
            </w:r>
          </w:p>
        </w:tc>
        <w:tc>
          <w:tcPr>
            <w:tcW w:type="pct" w:w="105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Justification</w:t>
            </w:r>
          </w:p>
        </w:tc>
      </w:tr>
      <w:tr>
        <w:tc>
          <w:tcPr>
            <w:tcW w:type="pct" w:w="950"/>
            <w:tcBorders>
              <w:top w:val="single" w:sz="8" w:space="0" w:color="000000"/>
              <w:left w:val="single" w:sz="8" w:space="0" w:color="000000"/>
              <w:bottom w:val="single" w:sz="8" w:space="0" w:color="000000"/>
              <w:right w:val="single" w:sz="8" w:space="0" w:color="000000"/>
            </w:tcBorders>
          </w:tcPr>
          <w:p>
            <w:pPr>
              <w:pStyle w:val="Compact"/>
              <w:jc w:val="left"/>
            </w:pPr>
            <w:r>
              <w:t xml:space="preserve">Session identifier (List 1)</w:t>
            </w:r>
          </w:p>
        </w:tc>
        <w:tc>
          <w:tcPr>
            <w:tcW w:type="pct" w:w="1000"/>
            <w:tcBorders>
              <w:top w:val="single" w:sz="8" w:space="0" w:color="000000"/>
              <w:left w:val="single" w:sz="8" w:space="0" w:color="000000"/>
              <w:bottom w:val="single" w:sz="8" w:space="0" w:color="000000"/>
              <w:right w:val="single" w:sz="8" w:space="0" w:color="000000"/>
            </w:tcBorders>
          </w:tcPr>
          <w:p>
            <w:pPr>
              <w:pStyle w:val="Compact"/>
              <w:jc w:val="left"/>
            </w:pPr>
            <w:r>
              <w:t xml:space="preserve">Minimum necessary for behavioral analytics</w:t>
            </w:r>
          </w:p>
        </w:tc>
        <w:tc>
          <w:tcPr>
            <w:tcW w:type="pct" w:w="1050"/>
            <w:tcBorders>
              <w:top w:val="single" w:sz="8" w:space="0" w:color="000000"/>
              <w:left w:val="single" w:sz="8" w:space="0" w:color="000000"/>
              <w:bottom w:val="single" w:sz="8" w:space="0" w:color="000000"/>
              <w:right w:val="single" w:sz="8" w:space="0" w:color="000000"/>
            </w:tcBorders>
          </w:tcPr>
          <w:p>
            <w:pPr>
              <w:pStyle w:val="Compact"/>
              <w:jc w:val="left"/>
            </w:pPr>
            <w:r>
              <w:t xml:space="preserve">Controller; canonical ledger nodes</w:t>
            </w:r>
          </w:p>
        </w:tc>
        <w:tc>
          <w:tcPr>
            <w:tcW w:type="pct" w:w="950"/>
            <w:tcBorders>
              <w:top w:val="single" w:sz="8" w:space="0" w:color="000000"/>
              <w:left w:val="single" w:sz="8" w:space="0" w:color="000000"/>
              <w:bottom w:val="single" w:sz="8" w:space="0" w:color="000000"/>
              <w:right w:val="single" w:sz="8" w:space="0" w:color="000000"/>
            </w:tcBorders>
          </w:tcPr>
          <w:p>
            <w:pPr>
              <w:pStyle w:val="Compact"/>
              <w:jc w:val="left"/>
            </w:pPr>
            <w:r>
              <w:t xml:space="preserve">months from last user</w:t>
            </w:r>
            <w:r>
              <w:t xml:space="preserve"> </w:t>
            </w:r>
            <w:r>
              <w:t xml:space="preserve">activity, or until user-initiated rescission</w:t>
            </w:r>
          </w:p>
        </w:tc>
        <w:tc>
          <w:tcPr>
            <w:tcW w:type="pct" w:w="1050"/>
            <w:tcBorders>
              <w:top w:val="single" w:sz="8" w:space="0" w:color="000000"/>
              <w:left w:val="single" w:sz="8" w:space="0" w:color="000000"/>
              <w:bottom w:val="single" w:sz="8" w:space="0" w:color="000000"/>
              <w:right w:val="single" w:sz="8" w:space="0" w:color="000000"/>
            </w:tcBorders>
          </w:tcPr>
          <w:p>
            <w:pPr>
              <w:pStyle w:val="Compact"/>
              <w:jc w:val="left"/>
            </w:pPr>
            <w:r>
              <w:t xml:space="preserve">Aligned with analytics</w:t>
            </w:r>
            <w:r>
              <w:t xml:space="preserve"> </w:t>
            </w:r>
            <w:r>
              <w:t xml:space="preserve">service lifecycle; structural minimum</w:t>
            </w:r>
          </w:p>
        </w:tc>
      </w:tr>
      <w:tr>
        <w:tc>
          <w:tcPr>
            <w:tcW w:type="pct" w:w="950"/>
            <w:tcBorders>
              <w:top w:val="single" w:sz="8" w:space="0" w:color="000000"/>
              <w:left w:val="single" w:sz="8" w:space="0" w:color="000000"/>
              <w:bottom w:val="single" w:sz="8" w:space="0" w:color="000000"/>
              <w:right w:val="single" w:sz="8" w:space="0" w:color="000000"/>
            </w:tcBorders>
          </w:tcPr>
          <w:p>
            <w:pPr>
              <w:pStyle w:val="Compact"/>
              <w:jc w:val="left"/>
            </w:pPr>
            <w:r>
              <w:t xml:space="preserve">Sealed behavioral payload (List 1)</w:t>
            </w:r>
          </w:p>
        </w:tc>
        <w:tc>
          <w:tcPr>
            <w:tcW w:type="pct" w:w="1000"/>
            <w:tcBorders>
              <w:top w:val="single" w:sz="8" w:space="0" w:color="000000"/>
              <w:left w:val="single" w:sz="8" w:space="0" w:color="000000"/>
              <w:bottom w:val="single" w:sz="8" w:space="0" w:color="000000"/>
              <w:right w:val="single" w:sz="8" w:space="0" w:color="000000"/>
            </w:tcBorders>
          </w:tcPr>
          <w:p>
            <w:pPr>
              <w:pStyle w:val="Compact"/>
              <w:jc w:val="left"/>
            </w:pPr>
            <w:r>
              <w:t xml:space="preserve">Minimum necessary for product</w:t>
            </w:r>
            <w:r>
              <w:t xml:space="preserve"> </w:t>
            </w:r>
            <w:r>
              <w:t xml:space="preserve">analytics</w:t>
            </w:r>
          </w:p>
        </w:tc>
        <w:tc>
          <w:tcPr>
            <w:tcW w:type="pct" w:w="1050"/>
            <w:tcBorders>
              <w:top w:val="single" w:sz="8" w:space="0" w:color="000000"/>
              <w:left w:val="single" w:sz="8" w:space="0" w:color="000000"/>
              <w:bottom w:val="single" w:sz="8" w:space="0" w:color="000000"/>
              <w:right w:val="single" w:sz="8" w:space="0" w:color="000000"/>
            </w:tcBorders>
          </w:tcPr>
          <w:p>
            <w:pPr>
              <w:pStyle w:val="Compact"/>
              <w:jc w:val="left"/>
            </w:pPr>
            <w:r>
              <w:t xml:space="preserve">Controller only (sealer key required)</w:t>
            </w:r>
          </w:p>
        </w:tc>
        <w:tc>
          <w:tcPr>
            <w:tcW w:type="pct" w:w="950"/>
            <w:tcBorders>
              <w:top w:val="single" w:sz="8" w:space="0" w:color="000000"/>
              <w:left w:val="single" w:sz="8" w:space="0" w:color="000000"/>
              <w:bottom w:val="single" w:sz="8" w:space="0" w:color="000000"/>
              <w:right w:val="single" w:sz="8" w:space="0" w:color="000000"/>
            </w:tcBorders>
          </w:tcPr>
          <w:p>
            <w:pPr>
              <w:pStyle w:val="Compact"/>
              <w:jc w:val="left"/>
            </w:pPr>
            <w:r>
              <w:t xml:space="preserve">months or until</w:t>
            </w:r>
            <w:r>
              <w:t xml:space="preserve"> </w:t>
            </w:r>
            <w:r>
              <w:t xml:space="preserve">rescission</w:t>
            </w:r>
          </w:p>
        </w:tc>
        <w:tc>
          <w:tcPr>
            <w:tcW w:type="pct" w:w="1050"/>
            <w:tcBorders>
              <w:top w:val="single" w:sz="8" w:space="0" w:color="000000"/>
              <w:left w:val="single" w:sz="8" w:space="0" w:color="000000"/>
              <w:bottom w:val="single" w:sz="8" w:space="0" w:color="000000"/>
              <w:right w:val="single" w:sz="8" w:space="0" w:color="000000"/>
            </w:tcBorders>
          </w:tcPr>
          <w:p>
            <w:pPr>
              <w:pStyle w:val="Compact"/>
              <w:jc w:val="left"/>
            </w:pPr>
            <w:r>
              <w:t xml:space="preserve">Sealed at rest; inaccessible without sealer key</w:t>
            </w:r>
          </w:p>
        </w:tc>
      </w:tr>
      <w:tr>
        <w:tc>
          <w:tcPr>
            <w:tcW w:type="pct" w:w="950"/>
            <w:tcBorders>
              <w:top w:val="single" w:sz="8" w:space="0" w:color="000000"/>
              <w:left w:val="single" w:sz="8" w:space="0" w:color="000000"/>
              <w:bottom w:val="single" w:sz="8" w:space="0" w:color="000000"/>
              <w:right w:val="single" w:sz="8" w:space="0" w:color="000000"/>
            </w:tcBorders>
          </w:tcPr>
          <w:p>
            <w:pPr>
              <w:pStyle w:val="Compact"/>
              <w:jc w:val="left"/>
            </w:pPr>
            <w:r>
              <w:t xml:space="preserve">Identity hash (List 2)</w:t>
            </w:r>
          </w:p>
        </w:tc>
        <w:tc>
          <w:tcPr>
            <w:tcW w:type="pct" w:w="1000"/>
            <w:tcBorders>
              <w:top w:val="single" w:sz="8" w:space="0" w:color="000000"/>
              <w:left w:val="single" w:sz="8" w:space="0" w:color="000000"/>
              <w:bottom w:val="single" w:sz="8" w:space="0" w:color="000000"/>
              <w:right w:val="single" w:sz="8" w:space="0" w:color="000000"/>
            </w:tcBorders>
          </w:tcPr>
          <w:p>
            <w:pPr>
              <w:pStyle w:val="Compact"/>
              <w:jc w:val="left"/>
            </w:pPr>
            <w:r>
              <w:t xml:space="preserve">Minimum necessary for sybil resistance</w:t>
            </w:r>
          </w:p>
        </w:tc>
        <w:tc>
          <w:tcPr>
            <w:tcW w:type="pct" w:w="1050"/>
            <w:tcBorders>
              <w:top w:val="single" w:sz="8" w:space="0" w:color="000000"/>
              <w:left w:val="single" w:sz="8" w:space="0" w:color="000000"/>
              <w:bottom w:val="single" w:sz="8" w:space="0" w:color="000000"/>
              <w:right w:val="single" w:sz="8" w:space="0" w:color="000000"/>
            </w:tcBorders>
          </w:tcPr>
          <w:p>
            <w:pPr>
              <w:pStyle w:val="Compact"/>
              <w:jc w:val="left"/>
            </w:pPr>
            <w:r>
              <w:t xml:space="preserve">Controller; canonical ledger nodes</w:t>
            </w:r>
          </w:p>
        </w:tc>
        <w:tc>
          <w:tcPr>
            <w:tcW w:type="pct" w:w="950"/>
            <w:tcBorders>
              <w:top w:val="single" w:sz="8" w:space="0" w:color="000000"/>
              <w:left w:val="single" w:sz="8" w:space="0" w:color="000000"/>
              <w:bottom w:val="single" w:sz="8" w:space="0" w:color="000000"/>
              <w:right w:val="single" w:sz="8" w:space="0" w:color="000000"/>
            </w:tcBorders>
          </w:tcPr>
          <w:p>
            <w:pPr>
              <w:pStyle w:val="Compact"/>
              <w:jc w:val="left"/>
            </w:pPr>
            <w:r>
              <w:t xml:space="preserve">months or until rescission</w:t>
            </w:r>
          </w:p>
        </w:tc>
        <w:tc>
          <w:tcPr>
            <w:tcW w:type="pct" w:w="1050"/>
            <w:tcBorders>
              <w:top w:val="single" w:sz="8" w:space="0" w:color="000000"/>
              <w:left w:val="single" w:sz="8" w:space="0" w:color="000000"/>
              <w:bottom w:val="single" w:sz="8" w:space="0" w:color="000000"/>
              <w:right w:val="single" w:sz="8" w:space="0" w:color="000000"/>
            </w:tcBorders>
          </w:tcPr>
          <w:p>
            <w:pPr>
              <w:pStyle w:val="Compact"/>
              <w:jc w:val="left"/>
            </w:pPr>
            <w:r>
              <w:t xml:space="preserve">No</w:t>
            </w:r>
            <w:r>
              <w:t xml:space="preserve"> </w:t>
            </w:r>
            <w:r>
              <w:t xml:space="preserve">behavioral content; cannot identify user without IDV</w:t>
            </w:r>
          </w:p>
        </w:tc>
      </w:tr>
      <w:tr>
        <w:tc>
          <w:tcPr>
            <w:tcW w:type="pct" w:w="950"/>
            <w:tcBorders>
              <w:top w:val="single" w:sz="8" w:space="0" w:color="000000"/>
              <w:left w:val="single" w:sz="8" w:space="0" w:color="000000"/>
              <w:bottom w:val="single" w:sz="8" w:space="0" w:color="000000"/>
              <w:right w:val="single" w:sz="8" w:space="0" w:color="000000"/>
            </w:tcBorders>
          </w:tcPr>
          <w:p>
            <w:pPr>
              <w:pStyle w:val="Compact"/>
              <w:jc w:val="left"/>
            </w:pPr>
            <w:r>
              <w:t xml:space="preserve">Aggregate count / period-close attestation</w:t>
            </w:r>
          </w:p>
        </w:tc>
        <w:tc>
          <w:tcPr>
            <w:tcW w:type="pct" w:w="1000"/>
            <w:tcBorders>
              <w:top w:val="single" w:sz="8" w:space="0" w:color="000000"/>
              <w:left w:val="single" w:sz="8" w:space="0" w:color="000000"/>
              <w:bottom w:val="single" w:sz="8" w:space="0" w:color="000000"/>
              <w:right w:val="single" w:sz="8" w:space="0" w:color="000000"/>
            </w:tcBorders>
          </w:tcPr>
          <w:p>
            <w:pPr>
              <w:pStyle w:val="Compact"/>
              <w:jc w:val="left"/>
            </w:pPr>
            <w:r>
              <w:t xml:space="preserve">Minimum necessary for</w:t>
            </w:r>
            <w:r>
              <w:t xml:space="preserve"> </w:t>
            </w:r>
            <w:r>
              <w:t xml:space="preserve">regulatory audit</w:t>
            </w:r>
          </w:p>
        </w:tc>
        <w:tc>
          <w:tcPr>
            <w:tcW w:type="pct" w:w="1050"/>
            <w:tcBorders>
              <w:top w:val="single" w:sz="8" w:space="0" w:color="000000"/>
              <w:left w:val="single" w:sz="8" w:space="0" w:color="000000"/>
              <w:bottom w:val="single" w:sz="8" w:space="0" w:color="000000"/>
              <w:right w:val="single" w:sz="8" w:space="0" w:color="000000"/>
            </w:tcBorders>
          </w:tcPr>
          <w:p>
            <w:pPr>
              <w:pStyle w:val="Compact"/>
              <w:jc w:val="left"/>
            </w:pPr>
            <w:r>
              <w:t xml:space="preserve">Controller; regulatory authority on inspection</w:t>
            </w:r>
          </w:p>
        </w:tc>
        <w:tc>
          <w:tcPr>
            <w:tcW w:type="pct" w:w="950"/>
            <w:tcBorders>
              <w:top w:val="single" w:sz="8" w:space="0" w:color="000000"/>
              <w:left w:val="single" w:sz="8" w:space="0" w:color="000000"/>
              <w:bottom w:val="single" w:sz="8" w:space="0" w:color="000000"/>
              <w:right w:val="single" w:sz="8" w:space="0" w:color="000000"/>
            </w:tcBorders>
          </w:tcPr>
          <w:p>
            <w:pPr>
              <w:pStyle w:val="Compact"/>
              <w:jc w:val="left"/>
            </w:pPr>
            <w:r>
              <w:t xml:space="preserve">years (regulatory audit obligation)</w:t>
            </w:r>
          </w:p>
        </w:tc>
        <w:tc>
          <w:tcPr>
            <w:tcW w:type="pct" w:w="1050"/>
            <w:tcBorders>
              <w:top w:val="single" w:sz="8" w:space="0" w:color="000000"/>
              <w:left w:val="single" w:sz="8" w:space="0" w:color="000000"/>
              <w:bottom w:val="single" w:sz="8" w:space="0" w:color="000000"/>
              <w:right w:val="single" w:sz="8" w:space="0" w:color="000000"/>
            </w:tcBorders>
          </w:tcPr>
          <w:p>
            <w:pPr>
              <w:pStyle w:val="Compact"/>
              <w:jc w:val="left"/>
            </w:pPr>
            <w:r>
              <w:t xml:space="preserve">Aggregate only; no individual</w:t>
            </w:r>
            <w:r>
              <w:t xml:space="preserve"> </w:t>
            </w:r>
            <w:r>
              <w:t xml:space="preserve">linkage</w:t>
            </w:r>
          </w:p>
        </w:tc>
      </w:tr>
      <w:tr>
        <w:tc>
          <w:tcPr>
            <w:tcW w:type="pct" w:w="950"/>
            <w:tcBorders>
              <w:top w:val="single" w:sz="8" w:space="0" w:color="000000"/>
              <w:left w:val="single" w:sz="8" w:space="0" w:color="000000"/>
              <w:bottom w:val="single" w:sz="8" w:space="0" w:color="000000"/>
              <w:right w:val="single" w:sz="8" w:space="0" w:color="000000"/>
            </w:tcBorders>
          </w:tcPr>
          <w:p>
            <w:pPr>
              <w:pStyle w:val="Compact"/>
              <w:jc w:val="left"/>
            </w:pPr>
            <w:r>
              <w:t xml:space="preserve">Off-chain reconciling record</w:t>
            </w:r>
          </w:p>
        </w:tc>
        <w:tc>
          <w:tcPr>
            <w:tcW w:type="pct" w:w="1000"/>
            <w:tcBorders>
              <w:top w:val="single" w:sz="8" w:space="0" w:color="000000"/>
              <w:left w:val="single" w:sz="8" w:space="0" w:color="000000"/>
              <w:bottom w:val="single" w:sz="8" w:space="0" w:color="000000"/>
              <w:right w:val="single" w:sz="8" w:space="0" w:color="000000"/>
            </w:tcBorders>
          </w:tcPr>
          <w:p>
            <w:pPr>
              <w:pStyle w:val="Compact"/>
              <w:jc w:val="left"/>
            </w:pPr>
            <w:r>
              <w:t xml:space="preserve">Minimum necessary for user-authenticated</w:t>
            </w:r>
            <w:r>
              <w:t xml:space="preserve"> </w:t>
            </w:r>
            <w:r>
              <w:t xml:space="preserve">retrieval</w:t>
            </w:r>
          </w:p>
        </w:tc>
        <w:tc>
          <w:tcPr>
            <w:tcW w:type="pct" w:w="1050"/>
            <w:tcBorders>
              <w:top w:val="single" w:sz="8" w:space="0" w:color="000000"/>
              <w:left w:val="single" w:sz="8" w:space="0" w:color="000000"/>
              <w:bottom w:val="single" w:sz="8" w:space="0" w:color="000000"/>
              <w:right w:val="single" w:sz="8" w:space="0" w:color="000000"/>
            </w:tcBorders>
          </w:tcPr>
          <w:p>
            <w:pPr>
              <w:pStyle w:val="Compact"/>
              <w:jc w:val="left"/>
            </w:pPr>
            <w:r>
              <w:t xml:space="preserve">User only (identity-gated); IDV for authentication only</w:t>
            </w:r>
          </w:p>
        </w:tc>
        <w:tc>
          <w:tcPr>
            <w:tcW w:type="pct" w:w="950"/>
            <w:tcBorders>
              <w:top w:val="single" w:sz="8" w:space="0" w:color="000000"/>
              <w:left w:val="single" w:sz="8" w:space="0" w:color="000000"/>
              <w:bottom w:val="single" w:sz="8" w:space="0" w:color="000000"/>
              <w:right w:val="single" w:sz="8" w:space="0" w:color="000000"/>
            </w:tcBorders>
          </w:tcPr>
          <w:p>
            <w:pPr>
              <w:pStyle w:val="Compact"/>
              <w:jc w:val="left"/>
            </w:pPr>
            <w:r>
              <w:t xml:space="preserve">Until user-initiated rescission</w:t>
            </w:r>
          </w:p>
        </w:tc>
        <w:tc>
          <w:tcPr>
            <w:tcW w:type="pct" w:w="1050"/>
            <w:tcBorders>
              <w:top w:val="single" w:sz="8" w:space="0" w:color="000000"/>
              <w:left w:val="single" w:sz="8" w:space="0" w:color="000000"/>
              <w:bottom w:val="single" w:sz="8" w:space="0" w:color="000000"/>
              <w:right w:val="single" w:sz="8" w:space="0" w:color="000000"/>
            </w:tcBorders>
          </w:tcPr>
          <w:p>
            <w:pPr>
              <w:pStyle w:val="Compact"/>
              <w:jc w:val="left"/>
            </w:pPr>
            <w:r>
              <w:t xml:space="preserve">Per-user; non-composable; deleted on</w:t>
            </w:r>
            <w:r>
              <w:t xml:space="preserve"> </w:t>
            </w:r>
            <w:r>
              <w:t xml:space="preserve">user request</w:t>
            </w:r>
          </w:p>
        </w:tc>
      </w:tr>
    </w:tbl>
    <w:bookmarkEnd w:id="37"/>
    <w:bookmarkStart w:id="38" w:name="data-quality"/>
    <w:p>
      <w:pPr>
        <w:numPr>
          <w:ilvl w:val="2"/>
          <w:numId w:val="1004"/>
        </w:numPr>
        <w:pStyle w:val="Heading4"/>
      </w:pPr>
      <w:r>
        <w:t xml:space="preserve">Data Quality</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340"/>
        <w:gridCol w:w="3370"/>
        <w:gridCol w:w="3650"/>
      </w:tblGrid>
      <w:tr>
        <w:trPr>
          <w:tblHeader w:val="on"/>
        </w:trPr>
        <w:tc>
          <w:tcPr>
            <w:tcW w:type="pct" w:w="125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Personal Data Item</w:t>
            </w:r>
          </w:p>
        </w:tc>
        <w:tc>
          <w:tcPr>
            <w:tcW w:type="pct" w:w="180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Quality Metrics</w:t>
            </w:r>
          </w:p>
        </w:tc>
        <w:tc>
          <w:tcPr>
            <w:tcW w:type="pct" w:w="195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Justification</w:t>
            </w:r>
          </w:p>
        </w:tc>
      </w:tr>
      <w:tr>
        <w:tc>
          <w:tcPr>
            <w:tcW w:type="pct" w:w="1250"/>
            <w:tcBorders>
              <w:top w:val="single" w:sz="8" w:space="0" w:color="000000"/>
              <w:left w:val="single" w:sz="8" w:space="0" w:color="000000"/>
              <w:bottom w:val="single" w:sz="8" w:space="0" w:color="000000"/>
              <w:right w:val="single" w:sz="8" w:space="0" w:color="000000"/>
            </w:tcBorders>
          </w:tcPr>
          <w:p>
            <w:pPr>
              <w:pStyle w:val="Compact"/>
              <w:jc w:val="left"/>
            </w:pPr>
            <w:r>
              <w:t xml:space="preserve">Identity hash</w:t>
            </w:r>
          </w:p>
        </w:tc>
        <w:tc>
          <w:tcPr>
            <w:tcW w:type="pct" w:w="1800"/>
            <w:tcBorders>
              <w:top w:val="single" w:sz="8" w:space="0" w:color="000000"/>
              <w:left w:val="single" w:sz="8" w:space="0" w:color="000000"/>
              <w:bottom w:val="single" w:sz="8" w:space="0" w:color="000000"/>
              <w:right w:val="single" w:sz="8" w:space="0" w:color="000000"/>
            </w:tcBorders>
          </w:tcPr>
          <w:p>
            <w:pPr>
              <w:pStyle w:val="Compact"/>
              <w:jc w:val="left"/>
            </w:pPr>
            <w:r>
              <w:t xml:space="preserve">Deterministic derivation from IDV-verified credential;</w:t>
            </w:r>
            <w:r>
              <w:t xml:space="preserve"> </w:t>
            </w:r>
            <w:r>
              <w:t xml:space="preserve">refreshed on re-attestation</w:t>
            </w:r>
          </w:p>
        </w:tc>
        <w:tc>
          <w:tcPr>
            <w:tcW w:type="pct" w:w="1950"/>
            <w:tcBorders>
              <w:top w:val="single" w:sz="8" w:space="0" w:color="000000"/>
              <w:left w:val="single" w:sz="8" w:space="0" w:color="000000"/>
              <w:bottom w:val="single" w:sz="8" w:space="0" w:color="000000"/>
              <w:right w:val="single" w:sz="8" w:space="0" w:color="000000"/>
            </w:tcBorders>
          </w:tcPr>
          <w:p>
            <w:pPr>
              <w:pStyle w:val="Compact"/>
              <w:jc w:val="left"/>
            </w:pPr>
            <w:r>
              <w:t xml:space="preserve">Accuracy maintained by IDV</w:t>
            </w:r>
            <w:r>
              <w:t xml:space="preserve"> </w:t>
            </w:r>
            <w:r>
              <w:t xml:space="preserve">re-verification; stale hashes invalidated on re-attestation</w:t>
            </w:r>
          </w:p>
        </w:tc>
      </w:tr>
      <w:tr>
        <w:tc>
          <w:tcPr>
            <w:tcW w:type="pct" w:w="1250"/>
            <w:tcBorders>
              <w:top w:val="single" w:sz="8" w:space="0" w:color="000000"/>
              <w:left w:val="single" w:sz="8" w:space="0" w:color="000000"/>
              <w:bottom w:val="single" w:sz="8" w:space="0" w:color="000000"/>
              <w:right w:val="single" w:sz="8" w:space="0" w:color="000000"/>
            </w:tcBorders>
          </w:tcPr>
          <w:p>
            <w:pPr>
              <w:pStyle w:val="Compact"/>
              <w:jc w:val="left"/>
            </w:pPr>
            <w:r>
              <w:t xml:space="preserve">Session identifier</w:t>
            </w:r>
          </w:p>
        </w:tc>
        <w:tc>
          <w:tcPr>
            <w:tcW w:type="pct" w:w="1800"/>
            <w:tcBorders>
              <w:top w:val="single" w:sz="8" w:space="0" w:color="000000"/>
              <w:left w:val="single" w:sz="8" w:space="0" w:color="000000"/>
              <w:bottom w:val="single" w:sz="8" w:space="0" w:color="000000"/>
              <w:right w:val="single" w:sz="8" w:space="0" w:color="000000"/>
            </w:tcBorders>
          </w:tcPr>
          <w:p>
            <w:pPr>
              <w:pStyle w:val="Compact"/>
              <w:jc w:val="left"/>
            </w:pPr>
            <w:r>
              <w:t xml:space="preserve">Opaque; direction-free; not individually</w:t>
            </w:r>
            <w:r>
              <w:t xml:space="preserve"> </w:t>
            </w:r>
            <w:r>
              <w:t xml:space="preserve">correctable by design</w:t>
            </w:r>
          </w:p>
        </w:tc>
        <w:tc>
          <w:tcPr>
            <w:tcW w:type="pct" w:w="1950"/>
            <w:tcBorders>
              <w:top w:val="single" w:sz="8" w:space="0" w:color="000000"/>
              <w:left w:val="single" w:sz="8" w:space="0" w:color="000000"/>
              <w:bottom w:val="single" w:sz="8" w:space="0" w:color="000000"/>
              <w:right w:val="single" w:sz="8" w:space="0" w:color="000000"/>
            </w:tcBorders>
          </w:tcPr>
          <w:p>
            <w:pPr>
              <w:pStyle w:val="Compact"/>
              <w:jc w:val="left"/>
            </w:pPr>
            <w:r>
              <w:t xml:space="preserve">Structural property; no accuracy obligation</w:t>
            </w:r>
            <w:r>
              <w:t xml:space="preserve"> </w:t>
            </w:r>
            <w:r>
              <w:t xml:space="preserve">attaches to a direction-free identifier</w:t>
            </w:r>
          </w:p>
        </w:tc>
      </w:tr>
      <w:tr>
        <w:tc>
          <w:tcPr>
            <w:tcW w:type="pct" w:w="1250"/>
            <w:tcBorders>
              <w:top w:val="single" w:sz="8" w:space="0" w:color="000000"/>
              <w:left w:val="single" w:sz="8" w:space="0" w:color="000000"/>
              <w:bottom w:val="single" w:sz="8" w:space="0" w:color="000000"/>
              <w:right w:val="single" w:sz="8" w:space="0" w:color="000000"/>
            </w:tcBorders>
          </w:tcPr>
          <w:p>
            <w:pPr>
              <w:pStyle w:val="Compact"/>
              <w:jc w:val="left"/>
            </w:pPr>
            <w:r>
              <w:t xml:space="preserve">Period-close attestation</w:t>
            </w:r>
          </w:p>
        </w:tc>
        <w:tc>
          <w:tcPr>
            <w:tcW w:type="pct" w:w="1800"/>
            <w:tcBorders>
              <w:top w:val="single" w:sz="8" w:space="0" w:color="000000"/>
              <w:left w:val="single" w:sz="8" w:space="0" w:color="000000"/>
              <w:bottom w:val="single" w:sz="8" w:space="0" w:color="000000"/>
              <w:right w:val="single" w:sz="8" w:space="0" w:color="000000"/>
            </w:tcBorders>
          </w:tcPr>
          <w:p>
            <w:pPr>
              <w:pStyle w:val="Compact"/>
              <w:jc w:val="left"/>
            </w:pPr>
            <w:r>
              <w:t xml:space="preserve">HSM-signed; append-only; immutable</w:t>
            </w:r>
          </w:p>
        </w:tc>
        <w:tc>
          <w:tcPr>
            <w:tcW w:type="pct" w:w="1950"/>
            <w:tcBorders>
              <w:top w:val="single" w:sz="8" w:space="0" w:color="000000"/>
              <w:left w:val="single" w:sz="8" w:space="0" w:color="000000"/>
              <w:bottom w:val="single" w:sz="8" w:space="0" w:color="000000"/>
              <w:right w:val="single" w:sz="8" w:space="0" w:color="000000"/>
            </w:tcBorders>
          </w:tcPr>
          <w:p>
            <w:pPr>
              <w:pStyle w:val="Compact"/>
              <w:jc w:val="left"/>
            </w:pPr>
            <w:r>
              <w:t xml:space="preserve">Integrity guaranteed by HSM signing key; count-match verifiable by any</w:t>
            </w:r>
            <w:r>
              <w:t xml:space="preserve"> </w:t>
            </w:r>
            <w:r>
              <w:t xml:space="preserve">third party with public key</w:t>
            </w:r>
          </w:p>
        </w:tc>
      </w:tr>
    </w:tbl>
    <w:bookmarkEnd w:id="38"/>
    <w:bookmarkEnd w:id="39"/>
    <w:bookmarkStart w:id="45" w:name="measures-supporting-compliance"/>
    <w:p>
      <w:pPr>
        <w:numPr>
          <w:ilvl w:val="1"/>
          <w:numId w:val="1004"/>
        </w:numPr>
        <w:pStyle w:val="Heading3"/>
      </w:pPr>
      <w:r>
        <w:t xml:space="preserve">Measures Supporting</w:t>
      </w:r>
      <w:r>
        <w:t xml:space="preserve"> </w:t>
      </w:r>
      <w:r>
        <w:t xml:space="preserve">Compliance</w:t>
      </w:r>
    </w:p>
    <w:bookmarkStart w:id="40" w:name="X0c697090881fb484c3d4e8643c1277b02e9dda8"/>
    <w:p>
      <w:pPr>
        <w:numPr>
          <w:ilvl w:val="2"/>
          <w:numId w:val="1004"/>
        </w:numPr>
        <w:pStyle w:val="Heading4"/>
      </w:pPr>
      <w:r>
        <w:t xml:space="preserve">Measures Supporting Compliance with Article 5(1) GDPR</w:t>
      </w:r>
      <w:r>
        <w:t xml:space="preserve"> </w:t>
      </w:r>
      <w:r>
        <w:t xml:space="preserve">Principles</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685"/>
        <w:gridCol w:w="3276"/>
        <w:gridCol w:w="3370"/>
        <w:gridCol w:w="1030"/>
      </w:tblGrid>
      <w:tr>
        <w:trPr>
          <w:tblHeader w:val="on"/>
        </w:trPr>
        <w:tc>
          <w:tcPr>
            <w:tcW w:type="pct" w:w="90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Principle</w:t>
            </w:r>
          </w:p>
        </w:tc>
        <w:tc>
          <w:tcPr>
            <w:tcW w:type="pct" w:w="175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Supporting Measures</w:t>
            </w:r>
          </w:p>
        </w:tc>
        <w:tc>
          <w:tcPr>
            <w:tcW w:type="pct" w:w="180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Appropriateness and Effectiveness</w:t>
            </w:r>
          </w:p>
        </w:tc>
        <w:tc>
          <w:tcPr>
            <w:tcW w:type="pct" w:w="55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Status</w:t>
            </w:r>
          </w:p>
        </w:tc>
      </w:tr>
      <w:tr>
        <w:tc>
          <w:tcPr>
            <w:tcW w:type="pct" w:w="900"/>
            <w:tcBorders>
              <w:top w:val="single" w:sz="8" w:space="0" w:color="000000"/>
              <w:left w:val="single" w:sz="8" w:space="0" w:color="000000"/>
              <w:bottom w:val="single" w:sz="8" w:space="0" w:color="000000"/>
              <w:right w:val="single" w:sz="8" w:space="0" w:color="000000"/>
            </w:tcBorders>
          </w:tcPr>
          <w:p>
            <w:pPr>
              <w:pStyle w:val="Compact"/>
              <w:jc w:val="left"/>
            </w:pPr>
            <w:r>
              <w:t xml:space="preserve">Fairness</w:t>
            </w:r>
          </w:p>
        </w:tc>
        <w:tc>
          <w:tcPr>
            <w:tcW w:type="pct" w:w="1750"/>
            <w:tcBorders>
              <w:top w:val="single" w:sz="8" w:space="0" w:color="000000"/>
              <w:left w:val="single" w:sz="8" w:space="0" w:color="000000"/>
              <w:bottom w:val="single" w:sz="8" w:space="0" w:color="000000"/>
              <w:right w:val="single" w:sz="8" w:space="0" w:color="000000"/>
            </w:tcBorders>
          </w:tcPr>
          <w:p>
            <w:pPr>
              <w:pStyle w:val="Compact"/>
              <w:jc w:val="left"/>
            </w:pPr>
            <w:r>
              <w:t xml:space="preserve">Structural non-representability: operator cannot derive</w:t>
            </w:r>
            <w:r>
              <w:t xml:space="preserve"> </w:t>
            </w:r>
            <w:r>
              <w:t xml:space="preserve">identity-behavior association from canonical state by any query</w:t>
            </w:r>
          </w:p>
        </w:tc>
        <w:tc>
          <w:tcPr>
            <w:tcW w:type="pct" w:w="1800"/>
            <w:tcBorders>
              <w:top w:val="single" w:sz="8" w:space="0" w:color="000000"/>
              <w:left w:val="single" w:sz="8" w:space="0" w:color="000000"/>
              <w:bottom w:val="single" w:sz="8" w:space="0" w:color="000000"/>
              <w:right w:val="single" w:sz="8" w:space="0" w:color="000000"/>
            </w:tcBorders>
          </w:tcPr>
          <w:p>
            <w:pPr>
              <w:pStyle w:val="Compact"/>
              <w:jc w:val="left"/>
            </w:pPr>
            <w:r>
              <w:t xml:space="preserve">Architectural guarantee — not policy-dependent; survives operator</w:t>
            </w:r>
            <w:r>
              <w:t xml:space="preserve"> </w:t>
            </w:r>
            <w:r>
              <w:t xml:space="preserve">compromise</w:t>
            </w:r>
          </w:p>
        </w:tc>
        <w:tc>
          <w:tcPr>
            <w:tcW w:type="pct" w:w="550"/>
            <w:tcBorders>
              <w:top w:val="single" w:sz="8" w:space="0" w:color="000000"/>
              <w:left w:val="single" w:sz="8" w:space="0" w:color="000000"/>
              <w:bottom w:val="single" w:sz="8" w:space="0" w:color="000000"/>
              <w:right w:val="single" w:sz="8" w:space="0" w:color="000000"/>
            </w:tcBorders>
          </w:tcPr>
          <w:p>
            <w:pPr>
              <w:pStyle w:val="Compact"/>
              <w:jc w:val="left"/>
            </w:pPr>
            <w:r>
              <w:t xml:space="preserve">Implemented</w:t>
            </w:r>
          </w:p>
        </w:tc>
      </w:tr>
      <w:tr>
        <w:tc>
          <w:tcPr>
            <w:tcW w:type="pct" w:w="900"/>
            <w:tcBorders>
              <w:top w:val="single" w:sz="8" w:space="0" w:color="000000"/>
              <w:left w:val="single" w:sz="8" w:space="0" w:color="000000"/>
              <w:bottom w:val="single" w:sz="8" w:space="0" w:color="000000"/>
              <w:right w:val="single" w:sz="8" w:space="0" w:color="000000"/>
            </w:tcBorders>
          </w:tcPr>
          <w:p>
            <w:pPr>
              <w:pStyle w:val="Compact"/>
              <w:jc w:val="left"/>
            </w:pPr>
            <w:r>
              <w:t xml:space="preserve">Transparency</w:t>
            </w:r>
          </w:p>
        </w:tc>
        <w:tc>
          <w:tcPr>
            <w:tcW w:type="pct" w:w="1750"/>
            <w:tcBorders>
              <w:top w:val="single" w:sz="8" w:space="0" w:color="000000"/>
              <w:left w:val="single" w:sz="8" w:space="0" w:color="000000"/>
              <w:bottom w:val="single" w:sz="8" w:space="0" w:color="000000"/>
              <w:right w:val="single" w:sz="8" w:space="0" w:color="000000"/>
            </w:tcBorders>
          </w:tcPr>
          <w:p>
            <w:pPr>
              <w:pStyle w:val="Compact"/>
              <w:jc w:val="left"/>
            </w:pPr>
            <w:r>
              <w:t xml:space="preserve">User-facing privacy notice describing two-list</w:t>
            </w:r>
            <w:r>
              <w:t xml:space="preserve"> </w:t>
            </w:r>
            <w:r>
              <w:t xml:space="preserve">architecture, sealing, and user-authenticated retrieval path</w:t>
            </w:r>
          </w:p>
        </w:tc>
        <w:tc>
          <w:tcPr>
            <w:tcW w:type="pct" w:w="1800"/>
            <w:tcBorders>
              <w:top w:val="single" w:sz="8" w:space="0" w:color="000000"/>
              <w:left w:val="single" w:sz="8" w:space="0" w:color="000000"/>
              <w:bottom w:val="single" w:sz="8" w:space="0" w:color="000000"/>
              <w:right w:val="single" w:sz="8" w:space="0" w:color="000000"/>
            </w:tcBorders>
          </w:tcPr>
          <w:p>
            <w:pPr>
              <w:pStyle w:val="Compact"/>
              <w:jc w:val="left"/>
            </w:pPr>
            <w:r>
              <w:t xml:space="preserve">Standard;</w:t>
            </w:r>
            <w:r>
              <w:t xml:space="preserve"> </w:t>
            </w:r>
            <w:r>
              <w:t xml:space="preserve">architecture is describable without revealing security internals</w:t>
            </w:r>
          </w:p>
        </w:tc>
        <w:tc>
          <w:tcPr>
            <w:tcW w:type="pct" w:w="550"/>
            <w:tcBorders>
              <w:top w:val="single" w:sz="8" w:space="0" w:color="000000"/>
              <w:left w:val="single" w:sz="8" w:space="0" w:color="000000"/>
              <w:bottom w:val="single" w:sz="8" w:space="0" w:color="000000"/>
              <w:right w:val="single" w:sz="8" w:space="0" w:color="000000"/>
            </w:tcBorders>
          </w:tcPr>
          <w:p>
            <w:pPr>
              <w:pStyle w:val="Compact"/>
              <w:jc w:val="left"/>
            </w:pPr>
            <w:r>
              <w:t xml:space="preserve">Implemented</w:t>
            </w:r>
          </w:p>
        </w:tc>
      </w:tr>
      <w:tr>
        <w:tc>
          <w:tcPr>
            <w:tcW w:type="pct" w:w="900"/>
            <w:tcBorders>
              <w:top w:val="single" w:sz="8" w:space="0" w:color="000000"/>
              <w:left w:val="single" w:sz="8" w:space="0" w:color="000000"/>
              <w:bottom w:val="single" w:sz="8" w:space="0" w:color="000000"/>
              <w:right w:val="single" w:sz="8" w:space="0" w:color="000000"/>
            </w:tcBorders>
          </w:tcPr>
          <w:p>
            <w:pPr>
              <w:pStyle w:val="Compact"/>
              <w:jc w:val="left"/>
            </w:pPr>
            <w:r>
              <w:t xml:space="preserve">Purpose limitation</w:t>
            </w:r>
          </w:p>
        </w:tc>
        <w:tc>
          <w:tcPr>
            <w:tcW w:type="pct" w:w="1750"/>
            <w:tcBorders>
              <w:top w:val="single" w:sz="8" w:space="0" w:color="000000"/>
              <w:left w:val="single" w:sz="8" w:space="0" w:color="000000"/>
              <w:bottom w:val="single" w:sz="8" w:space="0" w:color="000000"/>
              <w:right w:val="single" w:sz="8" w:space="0" w:color="000000"/>
            </w:tcBorders>
          </w:tcPr>
          <w:p>
            <w:pPr>
              <w:pStyle w:val="Compact"/>
              <w:jc w:val="left"/>
            </w:pPr>
            <w:r>
              <w:t xml:space="preserve">Rejection predicate structurally prevents canonical</w:t>
            </w:r>
            <w:r>
              <w:t xml:space="preserve"> </w:t>
            </w:r>
            <w:r>
              <w:t xml:space="preserve">state from being used for purposes requiring identity-behavior join; no</w:t>
            </w:r>
            <w:r>
              <w:t xml:space="preserve"> </w:t>
            </w:r>
            <w:r>
              <w:t xml:space="preserve">secondary use of join because join does not exist</w:t>
            </w:r>
          </w:p>
        </w:tc>
        <w:tc>
          <w:tcPr>
            <w:tcW w:type="pct" w:w="1800"/>
            <w:tcBorders>
              <w:top w:val="single" w:sz="8" w:space="0" w:color="000000"/>
              <w:left w:val="single" w:sz="8" w:space="0" w:color="000000"/>
              <w:bottom w:val="single" w:sz="8" w:space="0" w:color="000000"/>
              <w:right w:val="single" w:sz="8" w:space="0" w:color="000000"/>
            </w:tcBorders>
          </w:tcPr>
          <w:p>
            <w:pPr>
              <w:pStyle w:val="Compact"/>
              <w:jc w:val="left"/>
            </w:pPr>
            <w:r>
              <w:t xml:space="preserve">Structural</w:t>
            </w:r>
            <w:r>
              <w:t xml:space="preserve"> </w:t>
            </w:r>
            <w:r>
              <w:t xml:space="preserve">enforcement at validation layer; not configurable by operator</w:t>
            </w:r>
          </w:p>
        </w:tc>
        <w:tc>
          <w:tcPr>
            <w:tcW w:type="pct" w:w="550"/>
            <w:tcBorders>
              <w:top w:val="single" w:sz="8" w:space="0" w:color="000000"/>
              <w:left w:val="single" w:sz="8" w:space="0" w:color="000000"/>
              <w:bottom w:val="single" w:sz="8" w:space="0" w:color="000000"/>
              <w:right w:val="single" w:sz="8" w:space="0" w:color="000000"/>
            </w:tcBorders>
          </w:tcPr>
          <w:p>
            <w:pPr>
              <w:pStyle w:val="Compact"/>
              <w:jc w:val="left"/>
            </w:pPr>
            <w:r>
              <w:t xml:space="preserve">Implemented</w:t>
            </w:r>
          </w:p>
        </w:tc>
      </w:tr>
      <w:tr>
        <w:tc>
          <w:tcPr>
            <w:tcW w:type="pct" w:w="900"/>
            <w:tcBorders>
              <w:top w:val="single" w:sz="8" w:space="0" w:color="000000"/>
              <w:left w:val="single" w:sz="8" w:space="0" w:color="000000"/>
              <w:bottom w:val="single" w:sz="8" w:space="0" w:color="000000"/>
              <w:right w:val="single" w:sz="8" w:space="0" w:color="000000"/>
            </w:tcBorders>
          </w:tcPr>
          <w:p>
            <w:pPr>
              <w:pStyle w:val="Compact"/>
              <w:jc w:val="left"/>
            </w:pPr>
            <w:r>
              <w:t xml:space="preserve">Data minimisation</w:t>
            </w:r>
          </w:p>
        </w:tc>
        <w:tc>
          <w:tcPr>
            <w:tcW w:type="pct" w:w="1750"/>
            <w:tcBorders>
              <w:top w:val="single" w:sz="8" w:space="0" w:color="000000"/>
              <w:left w:val="single" w:sz="8" w:space="0" w:color="000000"/>
              <w:bottom w:val="single" w:sz="8" w:space="0" w:color="000000"/>
              <w:right w:val="single" w:sz="8" w:space="0" w:color="000000"/>
            </w:tcBorders>
          </w:tcPr>
          <w:p>
            <w:pPr>
              <w:pStyle w:val="Compact"/>
              <w:jc w:val="left"/>
            </w:pPr>
            <w:r>
              <w:t xml:space="preserve">List 1: no identity. List 2: no behavioral payload.</w:t>
            </w:r>
            <w:r>
              <w:t xml:space="preserve"> </w:t>
            </w:r>
            <w:r>
              <w:t xml:space="preserve">No join key committed. Aggregate-only period-close attestation. German</w:t>
            </w:r>
            <w:r>
              <w:t xml:space="preserve"> </w:t>
            </w:r>
            <w:r>
              <w:t xml:space="preserve">SDM unlinkability protection goal satisfied.</w:t>
            </w:r>
          </w:p>
        </w:tc>
        <w:tc>
          <w:tcPr>
            <w:tcW w:type="pct" w:w="1800"/>
            <w:tcBorders>
              <w:top w:val="single" w:sz="8" w:space="0" w:color="000000"/>
              <w:left w:val="single" w:sz="8" w:space="0" w:color="000000"/>
              <w:bottom w:val="single" w:sz="8" w:space="0" w:color="000000"/>
              <w:right w:val="single" w:sz="8" w:space="0" w:color="000000"/>
            </w:tcBorders>
          </w:tcPr>
          <w:p>
            <w:pPr>
              <w:pStyle w:val="Compact"/>
              <w:jc w:val="left"/>
            </w:pPr>
            <w:r>
              <w:t xml:space="preserve">Structural minimum —</w:t>
            </w:r>
            <w:r>
              <w:t xml:space="preserve"> </w:t>
            </w:r>
            <w:r>
              <w:t xml:space="preserve">less cannot be stored while preserving service functionality</w:t>
            </w:r>
          </w:p>
        </w:tc>
        <w:tc>
          <w:tcPr>
            <w:tcW w:type="pct" w:w="550"/>
            <w:tcBorders>
              <w:top w:val="single" w:sz="8" w:space="0" w:color="000000"/>
              <w:left w:val="single" w:sz="8" w:space="0" w:color="000000"/>
              <w:bottom w:val="single" w:sz="8" w:space="0" w:color="000000"/>
              <w:right w:val="single" w:sz="8" w:space="0" w:color="000000"/>
            </w:tcBorders>
          </w:tcPr>
          <w:p>
            <w:pPr>
              <w:pStyle w:val="Compact"/>
              <w:jc w:val="left"/>
            </w:pPr>
            <w:r>
              <w:t xml:space="preserve">Implemented</w:t>
            </w:r>
          </w:p>
        </w:tc>
      </w:tr>
      <w:tr>
        <w:tc>
          <w:tcPr>
            <w:tcW w:type="pct" w:w="900"/>
            <w:tcBorders>
              <w:top w:val="single" w:sz="8" w:space="0" w:color="000000"/>
              <w:left w:val="single" w:sz="8" w:space="0" w:color="000000"/>
              <w:bottom w:val="single" w:sz="8" w:space="0" w:color="000000"/>
              <w:right w:val="single" w:sz="8" w:space="0" w:color="000000"/>
            </w:tcBorders>
          </w:tcPr>
          <w:p>
            <w:pPr>
              <w:pStyle w:val="Compact"/>
              <w:jc w:val="left"/>
            </w:pPr>
            <w:r>
              <w:t xml:space="preserve">Accuracy</w:t>
            </w:r>
          </w:p>
        </w:tc>
        <w:tc>
          <w:tcPr>
            <w:tcW w:type="pct" w:w="1750"/>
            <w:tcBorders>
              <w:top w:val="single" w:sz="8" w:space="0" w:color="000000"/>
              <w:left w:val="single" w:sz="8" w:space="0" w:color="000000"/>
              <w:bottom w:val="single" w:sz="8" w:space="0" w:color="000000"/>
              <w:right w:val="single" w:sz="8" w:space="0" w:color="000000"/>
            </w:tcBorders>
          </w:tcPr>
          <w:p>
            <w:pPr>
              <w:pStyle w:val="Compact"/>
              <w:jc w:val="left"/>
            </w:pPr>
            <w:r>
              <w:t xml:space="preserve">IDV re-attestation for identity hash; AES-256-GCM for payload</w:t>
            </w:r>
            <w:r>
              <w:t xml:space="preserve"> </w:t>
            </w:r>
            <w:r>
              <w:t xml:space="preserve">integrity</w:t>
            </w:r>
          </w:p>
        </w:tc>
        <w:tc>
          <w:tcPr>
            <w:tcW w:type="pct" w:w="1800"/>
            <w:tcBorders>
              <w:top w:val="single" w:sz="8" w:space="0" w:color="000000"/>
              <w:left w:val="single" w:sz="8" w:space="0" w:color="000000"/>
              <w:bottom w:val="single" w:sz="8" w:space="0" w:color="000000"/>
              <w:right w:val="single" w:sz="8" w:space="0" w:color="000000"/>
            </w:tcBorders>
          </w:tcPr>
          <w:p>
            <w:pPr>
              <w:pStyle w:val="Compact"/>
              <w:jc w:val="left"/>
            </w:pPr>
            <w:r>
              <w:t xml:space="preserve">Cryptographic integrity; re-attestation enforces accuracy</w:t>
            </w:r>
          </w:p>
        </w:tc>
        <w:tc>
          <w:tcPr>
            <w:tcW w:type="pct" w:w="550"/>
            <w:tcBorders>
              <w:top w:val="single" w:sz="8" w:space="0" w:color="000000"/>
              <w:left w:val="single" w:sz="8" w:space="0" w:color="000000"/>
              <w:bottom w:val="single" w:sz="8" w:space="0" w:color="000000"/>
              <w:right w:val="single" w:sz="8" w:space="0" w:color="000000"/>
            </w:tcBorders>
          </w:tcPr>
          <w:p>
            <w:pPr>
              <w:pStyle w:val="Compact"/>
              <w:jc w:val="left"/>
            </w:pPr>
            <w:r>
              <w:t xml:space="preserve">Implemented</w:t>
            </w:r>
          </w:p>
        </w:tc>
      </w:tr>
      <w:tr>
        <w:tc>
          <w:tcPr>
            <w:tcW w:type="pct" w:w="900"/>
            <w:tcBorders>
              <w:top w:val="single" w:sz="8" w:space="0" w:color="000000"/>
              <w:left w:val="single" w:sz="8" w:space="0" w:color="000000"/>
              <w:bottom w:val="single" w:sz="8" w:space="0" w:color="000000"/>
              <w:right w:val="single" w:sz="8" w:space="0" w:color="000000"/>
            </w:tcBorders>
          </w:tcPr>
          <w:p>
            <w:pPr>
              <w:pStyle w:val="Compact"/>
              <w:jc w:val="left"/>
            </w:pPr>
            <w:r>
              <w:t xml:space="preserve">Storage limitation</w:t>
            </w:r>
          </w:p>
        </w:tc>
        <w:tc>
          <w:tcPr>
            <w:tcW w:type="pct" w:w="1750"/>
            <w:tcBorders>
              <w:top w:val="single" w:sz="8" w:space="0" w:color="000000"/>
              <w:left w:val="single" w:sz="8" w:space="0" w:color="000000"/>
              <w:bottom w:val="single" w:sz="8" w:space="0" w:color="000000"/>
              <w:right w:val="single" w:sz="8" w:space="0" w:color="000000"/>
            </w:tcBorders>
          </w:tcPr>
          <w:p>
            <w:pPr>
              <w:pStyle w:val="Compact"/>
              <w:jc w:val="left"/>
            </w:pPr>
            <w:r>
              <w:t xml:space="preserve">-month retention per data item; user-initiated</w:t>
            </w:r>
            <w:r>
              <w:t xml:space="preserve"> </w:t>
            </w:r>
            <w:r>
              <w:t xml:space="preserve">rescission supported (atomic L1+L2 deletion)</w:t>
            </w:r>
          </w:p>
        </w:tc>
        <w:tc>
          <w:tcPr>
            <w:tcW w:type="pct" w:w="1800"/>
            <w:tcBorders>
              <w:top w:val="single" w:sz="8" w:space="0" w:color="000000"/>
              <w:left w:val="single" w:sz="8" w:space="0" w:color="000000"/>
              <w:bottom w:val="single" w:sz="8" w:space="0" w:color="000000"/>
              <w:right w:val="single" w:sz="8" w:space="0" w:color="000000"/>
            </w:tcBorders>
          </w:tcPr>
          <w:p>
            <w:pPr>
              <w:pStyle w:val="Compact"/>
              <w:jc w:val="left"/>
            </w:pPr>
            <w:r>
              <w:t xml:space="preserve">Retention periods defined</w:t>
            </w:r>
            <w:r>
              <w:t xml:space="preserve"> </w:t>
            </w:r>
            <w:r>
              <w:t xml:space="preserve">and technically enforced</w:t>
            </w:r>
          </w:p>
        </w:tc>
        <w:tc>
          <w:tcPr>
            <w:tcW w:type="pct" w:w="550"/>
            <w:tcBorders>
              <w:top w:val="single" w:sz="8" w:space="0" w:color="000000"/>
              <w:left w:val="single" w:sz="8" w:space="0" w:color="000000"/>
              <w:bottom w:val="single" w:sz="8" w:space="0" w:color="000000"/>
              <w:right w:val="single" w:sz="8" w:space="0" w:color="000000"/>
            </w:tcBorders>
          </w:tcPr>
          <w:p>
            <w:pPr>
              <w:pStyle w:val="Compact"/>
              <w:jc w:val="left"/>
            </w:pPr>
            <w:r>
              <w:t xml:space="preserve">Planned (pre-launch)</w:t>
            </w:r>
          </w:p>
        </w:tc>
      </w:tr>
      <w:tr>
        <w:tc>
          <w:tcPr>
            <w:tcW w:type="pct" w:w="900"/>
            <w:tcBorders>
              <w:top w:val="single" w:sz="8" w:space="0" w:color="000000"/>
              <w:left w:val="single" w:sz="8" w:space="0" w:color="000000"/>
              <w:bottom w:val="single" w:sz="8" w:space="0" w:color="000000"/>
              <w:right w:val="single" w:sz="8" w:space="0" w:color="000000"/>
            </w:tcBorders>
          </w:tcPr>
          <w:p>
            <w:pPr>
              <w:pStyle w:val="Compact"/>
              <w:jc w:val="left"/>
            </w:pPr>
            <w:r>
              <w:t xml:space="preserve">Integrity and confidentiality</w:t>
            </w:r>
          </w:p>
        </w:tc>
        <w:tc>
          <w:tcPr>
            <w:tcW w:type="pct" w:w="1750"/>
            <w:tcBorders>
              <w:top w:val="single" w:sz="8" w:space="0" w:color="000000"/>
              <w:left w:val="single" w:sz="8" w:space="0" w:color="000000"/>
              <w:bottom w:val="single" w:sz="8" w:space="0" w:color="000000"/>
              <w:right w:val="single" w:sz="8" w:space="0" w:color="000000"/>
            </w:tcBorders>
          </w:tcPr>
          <w:p>
            <w:pPr>
              <w:pStyle w:val="Compact"/>
              <w:jc w:val="left"/>
            </w:pPr>
            <w:r>
              <w:t xml:space="preserve">AES-256-GCM payload sealing; TLS 1.3 in</w:t>
            </w:r>
            <w:r>
              <w:t xml:space="preserve"> </w:t>
            </w:r>
            <w:r>
              <w:t xml:space="preserve">transit; HSM-backed signing; no operator access to sealed content</w:t>
            </w:r>
            <w:r>
              <w:t xml:space="preserve"> </w:t>
            </w:r>
            <w:r>
              <w:t xml:space="preserve">without sealer key; BFT consensus</w:t>
            </w:r>
          </w:p>
        </w:tc>
        <w:tc>
          <w:tcPr>
            <w:tcW w:type="pct" w:w="1800"/>
            <w:tcBorders>
              <w:top w:val="single" w:sz="8" w:space="0" w:color="000000"/>
              <w:left w:val="single" w:sz="8" w:space="0" w:color="000000"/>
              <w:bottom w:val="single" w:sz="8" w:space="0" w:color="000000"/>
              <w:right w:val="single" w:sz="8" w:space="0" w:color="000000"/>
            </w:tcBorders>
          </w:tcPr>
          <w:p>
            <w:pPr>
              <w:pStyle w:val="Compact"/>
              <w:jc w:val="left"/>
            </w:pPr>
            <w:r>
              <w:t xml:space="preserve">Defense-in-depth; multiple</w:t>
            </w:r>
            <w:r>
              <w:t xml:space="preserve"> </w:t>
            </w:r>
            <w:r>
              <w:t xml:space="preserve">independent controls</w:t>
            </w:r>
          </w:p>
        </w:tc>
        <w:tc>
          <w:tcPr>
            <w:tcW w:type="pct" w:w="550"/>
            <w:tcBorders>
              <w:top w:val="single" w:sz="8" w:space="0" w:color="000000"/>
              <w:left w:val="single" w:sz="8" w:space="0" w:color="000000"/>
              <w:bottom w:val="single" w:sz="8" w:space="0" w:color="000000"/>
              <w:right w:val="single" w:sz="8" w:space="0" w:color="000000"/>
            </w:tcBorders>
          </w:tcPr>
          <w:p>
            <w:pPr>
              <w:pStyle w:val="Compact"/>
              <w:jc w:val="left"/>
            </w:pPr>
            <w:r>
              <w:t xml:space="preserve">Implemented</w:t>
            </w:r>
          </w:p>
        </w:tc>
      </w:tr>
      <w:tr>
        <w:tc>
          <w:tcPr>
            <w:tcW w:type="pct" w:w="900"/>
            <w:tcBorders>
              <w:top w:val="single" w:sz="8" w:space="0" w:color="000000"/>
              <w:left w:val="single" w:sz="8" w:space="0" w:color="000000"/>
              <w:bottom w:val="single" w:sz="8" w:space="0" w:color="000000"/>
              <w:right w:val="single" w:sz="8" w:space="0" w:color="000000"/>
            </w:tcBorders>
          </w:tcPr>
          <w:p>
            <w:pPr>
              <w:pStyle w:val="Compact"/>
              <w:jc w:val="left"/>
            </w:pPr>
            <w:r>
              <w:t xml:space="preserve">Accountability</w:t>
            </w:r>
          </w:p>
        </w:tc>
        <w:tc>
          <w:tcPr>
            <w:tcW w:type="pct" w:w="1750"/>
            <w:tcBorders>
              <w:top w:val="single" w:sz="8" w:space="0" w:color="000000"/>
              <w:left w:val="single" w:sz="8" w:space="0" w:color="000000"/>
              <w:bottom w:val="single" w:sz="8" w:space="0" w:color="000000"/>
              <w:right w:val="single" w:sz="8" w:space="0" w:color="000000"/>
            </w:tcBorders>
          </w:tcPr>
          <w:p>
            <w:pPr>
              <w:pStyle w:val="Compact"/>
              <w:jc w:val="left"/>
            </w:pPr>
            <w:r>
              <w:t xml:space="preserve">DPIA documented; annual review; DPO consulted; ROPA</w:t>
            </w:r>
            <w:r>
              <w:t xml:space="preserve"> </w:t>
            </w:r>
            <w:r>
              <w:t xml:space="preserve">maintained</w:t>
            </w:r>
          </w:p>
        </w:tc>
        <w:tc>
          <w:tcPr>
            <w:tcW w:type="pct" w:w="1800"/>
            <w:tcBorders>
              <w:top w:val="single" w:sz="8" w:space="0" w:color="000000"/>
              <w:left w:val="single" w:sz="8" w:space="0" w:color="000000"/>
              <w:bottom w:val="single" w:sz="8" w:space="0" w:color="000000"/>
              <w:right w:val="single" w:sz="8" w:space="0" w:color="000000"/>
            </w:tcBorders>
          </w:tcPr>
          <w:p>
            <w:pPr>
              <w:pStyle w:val="Compact"/>
              <w:jc w:val="left"/>
            </w:pPr>
            <w:r>
              <w:t xml:space="preserve">Standard</w:t>
            </w:r>
          </w:p>
        </w:tc>
        <w:tc>
          <w:tcPr>
            <w:tcW w:type="pct" w:w="550"/>
            <w:tcBorders>
              <w:top w:val="single" w:sz="8" w:space="0" w:color="000000"/>
              <w:left w:val="single" w:sz="8" w:space="0" w:color="000000"/>
              <w:bottom w:val="single" w:sz="8" w:space="0" w:color="000000"/>
              <w:right w:val="single" w:sz="8" w:space="0" w:color="000000"/>
            </w:tcBorders>
          </w:tcPr>
          <w:p>
            <w:pPr>
              <w:pStyle w:val="Compact"/>
              <w:jc w:val="left"/>
            </w:pPr>
            <w:r>
              <w:t xml:space="preserve">Implemented</w:t>
            </w:r>
          </w:p>
        </w:tc>
      </w:tr>
    </w:tbl>
    <w:bookmarkEnd w:id="40"/>
    <w:bookmarkStart w:id="41" w:name="X19584d345d4510df8b826e778cb97f9bb9d2424"/>
    <w:p>
      <w:pPr>
        <w:numPr>
          <w:ilvl w:val="2"/>
          <w:numId w:val="1004"/>
        </w:numPr>
        <w:pStyle w:val="Heading4"/>
      </w:pPr>
      <w:r>
        <w:t xml:space="preserve">Measures Supporting Exercise of Data Subject</w:t>
      </w:r>
      <w:r>
        <w:t xml:space="preserve"> </w:t>
      </w:r>
      <w:r>
        <w:t xml:space="preserve">Rights</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966"/>
        <w:gridCol w:w="3182"/>
        <w:gridCol w:w="3182"/>
        <w:gridCol w:w="1030"/>
      </w:tblGrid>
      <w:tr>
        <w:trPr>
          <w:tblHeader w:val="on"/>
        </w:trPr>
        <w:tc>
          <w:tcPr>
            <w:tcW w:type="pct" w:w="105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Right</w:t>
            </w:r>
          </w:p>
        </w:tc>
        <w:tc>
          <w:tcPr>
            <w:tcW w:type="pct" w:w="170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Supporting Measures</w:t>
            </w:r>
          </w:p>
        </w:tc>
        <w:tc>
          <w:tcPr>
            <w:tcW w:type="pct" w:w="170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Effectiveness</w:t>
            </w:r>
          </w:p>
        </w:tc>
        <w:tc>
          <w:tcPr>
            <w:tcW w:type="pct" w:w="55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Status</w:t>
            </w:r>
          </w:p>
        </w:tc>
      </w:tr>
      <w:tr>
        <w:tc>
          <w:tcPr>
            <w:tcW w:type="pct" w:w="1050"/>
            <w:tcBorders>
              <w:top w:val="single" w:sz="8" w:space="0" w:color="000000"/>
              <w:left w:val="single" w:sz="8" w:space="0" w:color="000000"/>
              <w:bottom w:val="single" w:sz="8" w:space="0" w:color="000000"/>
              <w:right w:val="single" w:sz="8" w:space="0" w:color="000000"/>
            </w:tcBorders>
          </w:tcPr>
          <w:p>
            <w:pPr>
              <w:pStyle w:val="Compact"/>
              <w:jc w:val="left"/>
            </w:pPr>
            <w:r>
              <w:t xml:space="preserve">Information (Articles 12–14)</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Privacy notice describing architecture,</w:t>
            </w:r>
            <w:r>
              <w:t xml:space="preserve"> </w:t>
            </w:r>
            <w:r>
              <w:t xml:space="preserve">legal basis, retention periods, and user-authenticated retrieval path</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Standard; architecture fully describable</w:t>
            </w:r>
          </w:p>
        </w:tc>
        <w:tc>
          <w:tcPr>
            <w:tcW w:type="pct" w:w="550"/>
            <w:tcBorders>
              <w:top w:val="single" w:sz="8" w:space="0" w:color="000000"/>
              <w:left w:val="single" w:sz="8" w:space="0" w:color="000000"/>
              <w:bottom w:val="single" w:sz="8" w:space="0" w:color="000000"/>
              <w:right w:val="single" w:sz="8" w:space="0" w:color="000000"/>
            </w:tcBorders>
          </w:tcPr>
          <w:p>
            <w:pPr>
              <w:pStyle w:val="Compact"/>
              <w:jc w:val="left"/>
            </w:pPr>
            <w:r>
              <w:t xml:space="preserve">Implemented</w:t>
            </w:r>
          </w:p>
        </w:tc>
      </w:tr>
      <w:tr>
        <w:tc>
          <w:tcPr>
            <w:tcW w:type="pct" w:w="1050"/>
            <w:tcBorders>
              <w:top w:val="single" w:sz="8" w:space="0" w:color="000000"/>
              <w:left w:val="single" w:sz="8" w:space="0" w:color="000000"/>
              <w:bottom w:val="single" w:sz="8" w:space="0" w:color="000000"/>
              <w:right w:val="single" w:sz="8" w:space="0" w:color="000000"/>
            </w:tcBorders>
          </w:tcPr>
          <w:p>
            <w:pPr>
              <w:pStyle w:val="Compact"/>
              <w:jc w:val="left"/>
            </w:pPr>
            <w:r>
              <w:t xml:space="preserve">Access and portability (Articles 15, 20)</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User-authenticated</w:t>
            </w:r>
            <w:r>
              <w:t xml:space="preserve"> </w:t>
            </w:r>
            <w:r>
              <w:t xml:space="preserve">reconciling authority interface returns full behavioral history in</w:t>
            </w:r>
            <w:r>
              <w:t xml:space="preserve"> </w:t>
            </w:r>
            <w:r>
              <w:t xml:space="preserve">machine-readable format; no operator intermediation required</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Structural: user accesses own data without operator involvement</w:t>
            </w:r>
          </w:p>
        </w:tc>
        <w:tc>
          <w:tcPr>
            <w:tcW w:type="pct" w:w="550"/>
            <w:tcBorders>
              <w:top w:val="single" w:sz="8" w:space="0" w:color="000000"/>
              <w:left w:val="single" w:sz="8" w:space="0" w:color="000000"/>
              <w:bottom w:val="single" w:sz="8" w:space="0" w:color="000000"/>
              <w:right w:val="single" w:sz="8" w:space="0" w:color="000000"/>
            </w:tcBorders>
          </w:tcPr>
          <w:p>
            <w:pPr>
              <w:pStyle w:val="Compact"/>
              <w:jc w:val="left"/>
            </w:pPr>
            <w:r>
              <w:t xml:space="preserve">Implemented</w:t>
            </w:r>
          </w:p>
        </w:tc>
      </w:tr>
      <w:tr>
        <w:tc>
          <w:tcPr>
            <w:tcW w:type="pct" w:w="1050"/>
            <w:tcBorders>
              <w:top w:val="single" w:sz="8" w:space="0" w:color="000000"/>
              <w:left w:val="single" w:sz="8" w:space="0" w:color="000000"/>
              <w:bottom w:val="single" w:sz="8" w:space="0" w:color="000000"/>
              <w:right w:val="single" w:sz="8" w:space="0" w:color="000000"/>
            </w:tcBorders>
          </w:tcPr>
          <w:p>
            <w:pPr>
              <w:pStyle w:val="Compact"/>
              <w:jc w:val="left"/>
            </w:pPr>
            <w:r>
              <w:t xml:space="preserve">Rectification and erasure (Articles 16, 17)</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Credential-free</w:t>
            </w:r>
            <w:r>
              <w:t xml:space="preserve"> </w:t>
            </w:r>
            <w:r>
              <w:t xml:space="preserve">rescission: atomic L1+L2 deletion co-signed by reconciling authority;</w:t>
            </w:r>
            <w:r>
              <w:t xml:space="preserve"> </w:t>
            </w:r>
            <w:r>
              <w:t xml:space="preserve">count-match invariant preserved; biometric re-derivation removes</w:t>
            </w:r>
            <w:r>
              <w:t xml:space="preserve"> </w:t>
            </w:r>
            <w:r>
              <w:t xml:space="preserve">memorized-secret dependency</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Structural: no secret required; biometric</w:t>
            </w:r>
            <w:r>
              <w:t xml:space="preserve"> </w:t>
            </w:r>
            <w:r>
              <w:t xml:space="preserve">re-derivation enables erasure on any device</w:t>
            </w:r>
          </w:p>
        </w:tc>
        <w:tc>
          <w:tcPr>
            <w:tcW w:type="pct" w:w="550"/>
            <w:tcBorders>
              <w:top w:val="single" w:sz="8" w:space="0" w:color="000000"/>
              <w:left w:val="single" w:sz="8" w:space="0" w:color="000000"/>
              <w:bottom w:val="single" w:sz="8" w:space="0" w:color="000000"/>
              <w:right w:val="single" w:sz="8" w:space="0" w:color="000000"/>
            </w:tcBorders>
          </w:tcPr>
          <w:p>
            <w:pPr>
              <w:pStyle w:val="Compact"/>
              <w:jc w:val="left"/>
            </w:pPr>
            <w:r>
              <w:t xml:space="preserve">Implemented</w:t>
            </w:r>
          </w:p>
        </w:tc>
      </w:tr>
      <w:tr>
        <w:tc>
          <w:tcPr>
            <w:tcW w:type="pct" w:w="1050"/>
            <w:tcBorders>
              <w:top w:val="single" w:sz="8" w:space="0" w:color="000000"/>
              <w:left w:val="single" w:sz="8" w:space="0" w:color="000000"/>
              <w:bottom w:val="single" w:sz="8" w:space="0" w:color="000000"/>
              <w:right w:val="single" w:sz="8" w:space="0" w:color="000000"/>
            </w:tcBorders>
          </w:tcPr>
          <w:p>
            <w:pPr>
              <w:pStyle w:val="Compact"/>
              <w:jc w:val="left"/>
            </w:pPr>
            <w:r>
              <w:t xml:space="preserve">Object and restrict (Articles 18, 19, 21)</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User may object to</w:t>
            </w:r>
            <w:r>
              <w:t xml:space="preserve"> </w:t>
            </w:r>
            <w:r>
              <w:t xml:space="preserve">legitimate-interest processing; controller assesses compelling grounds;</w:t>
            </w:r>
            <w:r>
              <w:t xml:space="preserve"> </w:t>
            </w:r>
            <w:r>
              <w:t xml:space="preserve">rescission available if objection upheld</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Standard objection handling</w:t>
            </w:r>
          </w:p>
        </w:tc>
        <w:tc>
          <w:tcPr>
            <w:tcW w:type="pct" w:w="550"/>
            <w:tcBorders>
              <w:top w:val="single" w:sz="8" w:space="0" w:color="000000"/>
              <w:left w:val="single" w:sz="8" w:space="0" w:color="000000"/>
              <w:bottom w:val="single" w:sz="8" w:space="0" w:color="000000"/>
              <w:right w:val="single" w:sz="8" w:space="0" w:color="000000"/>
            </w:tcBorders>
          </w:tcPr>
          <w:p>
            <w:pPr>
              <w:pStyle w:val="Compact"/>
              <w:jc w:val="left"/>
            </w:pPr>
            <w:r>
              <w:t xml:space="preserve">Planned</w:t>
            </w:r>
          </w:p>
        </w:tc>
      </w:tr>
      <w:tr>
        <w:tc>
          <w:tcPr>
            <w:tcW w:type="pct" w:w="1050"/>
            <w:tcBorders>
              <w:top w:val="single" w:sz="8" w:space="0" w:color="000000"/>
              <w:left w:val="single" w:sz="8" w:space="0" w:color="000000"/>
              <w:bottom w:val="single" w:sz="8" w:space="0" w:color="000000"/>
              <w:right w:val="single" w:sz="8" w:space="0" w:color="000000"/>
            </w:tcBorders>
          </w:tcPr>
          <w:p>
            <w:pPr>
              <w:pStyle w:val="Compact"/>
              <w:jc w:val="left"/>
            </w:pPr>
            <w:r>
              <w:t xml:space="preserve">No solely automated decision-making (Article 22)</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No automated</w:t>
            </w:r>
            <w:r>
              <w:t xml:space="preserve"> </w:t>
            </w:r>
            <w:r>
              <w:t xml:space="preserve">decisions with legal or similarly significant effect are made on the</w:t>
            </w:r>
            <w:r>
              <w:t xml:space="preserve"> </w:t>
            </w:r>
            <w:r>
              <w:t xml:space="preserve">basis of behavioral analytics output</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N/A</w:t>
            </w:r>
          </w:p>
        </w:tc>
        <w:tc>
          <w:tcPr>
            <w:tcW w:type="pct" w:w="550"/>
            <w:tcBorders>
              <w:top w:val="single" w:sz="8" w:space="0" w:color="000000"/>
              <w:left w:val="single" w:sz="8" w:space="0" w:color="000000"/>
              <w:bottom w:val="single" w:sz="8" w:space="0" w:color="000000"/>
              <w:right w:val="single" w:sz="8" w:space="0" w:color="000000"/>
            </w:tcBorders>
          </w:tcPr>
          <w:p>
            <w:pPr>
              <w:pStyle w:val="Compact"/>
              <w:jc w:val="left"/>
            </w:pPr>
            <w:r>
              <w:t xml:space="preserve">N/A</w:t>
            </w:r>
          </w:p>
        </w:tc>
      </w:tr>
    </w:tbl>
    <w:bookmarkEnd w:id="41"/>
    <w:bookmarkStart w:id="42" w:name="Xb27341a8e0fd815839cc07ef1dd527933c4f369"/>
    <w:p>
      <w:pPr>
        <w:numPr>
          <w:ilvl w:val="2"/>
          <w:numId w:val="1004"/>
        </w:numPr>
        <w:pStyle w:val="Heading4"/>
      </w:pPr>
      <w:r>
        <w:t xml:space="preserve">Measures Supporting Compliance with Other GDPR</w:t>
      </w:r>
      <w:r>
        <w:t xml:space="preserve"> </w:t>
      </w:r>
      <w:r>
        <w:t xml:space="preserve">Requirements</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059"/>
        <w:gridCol w:w="3370"/>
        <w:gridCol w:w="2902"/>
        <w:gridCol w:w="1030"/>
      </w:tblGrid>
      <w:tr>
        <w:trPr>
          <w:tblHeader w:val="on"/>
        </w:trPr>
        <w:tc>
          <w:tcPr>
            <w:tcW w:type="pct" w:w="110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Requirement</w:t>
            </w:r>
          </w:p>
        </w:tc>
        <w:tc>
          <w:tcPr>
            <w:tcW w:type="pct" w:w="180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Supporting Measures</w:t>
            </w:r>
          </w:p>
        </w:tc>
        <w:tc>
          <w:tcPr>
            <w:tcW w:type="pct" w:w="155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Effectiveness</w:t>
            </w:r>
          </w:p>
        </w:tc>
        <w:tc>
          <w:tcPr>
            <w:tcW w:type="pct" w:w="55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Status</w:t>
            </w:r>
          </w:p>
        </w:tc>
      </w:tr>
      <w:tr>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Consent requirements (Article 7)</w:t>
            </w:r>
          </w:p>
        </w:tc>
        <w:tc>
          <w:tcPr>
            <w:tcW w:type="pct" w:w="1800"/>
            <w:tcBorders>
              <w:top w:val="single" w:sz="8" w:space="0" w:color="000000"/>
              <w:left w:val="single" w:sz="8" w:space="0" w:color="000000"/>
              <w:bottom w:val="single" w:sz="8" w:space="0" w:color="000000"/>
              <w:right w:val="single" w:sz="8" w:space="0" w:color="000000"/>
            </w:tcBorders>
          </w:tcPr>
          <w:p>
            <w:pPr>
              <w:pStyle w:val="Compact"/>
              <w:jc w:val="left"/>
            </w:pPr>
            <w:r>
              <w:t xml:space="preserve">Consent not relied upon as legal</w:t>
            </w:r>
            <w:r>
              <w:t xml:space="preserve"> </w:t>
            </w:r>
            <w:r>
              <w:t xml:space="preserve">basis; no consent management infrastructure required</w:t>
            </w:r>
          </w:p>
        </w:tc>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N/A — basis is</w:t>
            </w:r>
            <w:r>
              <w:t xml:space="preserve"> </w:t>
            </w:r>
            <w:r>
              <w:t xml:space="preserve">legitimate interests</w:t>
            </w:r>
          </w:p>
        </w:tc>
        <w:tc>
          <w:tcPr>
            <w:tcW w:type="pct" w:w="550"/>
            <w:tcBorders>
              <w:top w:val="single" w:sz="8" w:space="0" w:color="000000"/>
              <w:left w:val="single" w:sz="8" w:space="0" w:color="000000"/>
              <w:bottom w:val="single" w:sz="8" w:space="0" w:color="000000"/>
              <w:right w:val="single" w:sz="8" w:space="0" w:color="000000"/>
            </w:tcBorders>
          </w:tcPr>
          <w:p>
            <w:pPr>
              <w:pStyle w:val="Compact"/>
              <w:jc w:val="left"/>
            </w:pPr>
            <w:r>
              <w:t xml:space="preserve">N/A</w:t>
            </w:r>
          </w:p>
        </w:tc>
      </w:tr>
      <w:tr>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Processor relationship (Article 28)</w:t>
            </w:r>
          </w:p>
        </w:tc>
        <w:tc>
          <w:tcPr>
            <w:tcW w:type="pct" w:w="1800"/>
            <w:tcBorders>
              <w:top w:val="single" w:sz="8" w:space="0" w:color="000000"/>
              <w:left w:val="single" w:sz="8" w:space="0" w:color="000000"/>
              <w:bottom w:val="single" w:sz="8" w:space="0" w:color="000000"/>
              <w:right w:val="single" w:sz="8" w:space="0" w:color="000000"/>
            </w:tcBorders>
          </w:tcPr>
          <w:p>
            <w:pPr>
              <w:pStyle w:val="Compact"/>
              <w:jc w:val="left"/>
            </w:pPr>
            <w:r>
              <w:t xml:space="preserve">Shyware DPA executed with the</w:t>
            </w:r>
            <w:r>
              <w:t xml:space="preserve"> </w:t>
            </w:r>
            <w:r>
              <w:t xml:space="preserve">customer under Article 28. Shyware acts as processor for customer user</w:t>
            </w:r>
            <w:r>
              <w:t xml:space="preserve"> </w:t>
            </w:r>
            <w:r>
              <w:t xml:space="preserve">data processed through the SDK and related hosted services.</w:t>
            </w:r>
          </w:p>
        </w:tc>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DPA in</w:t>
            </w:r>
            <w:r>
              <w:t xml:space="preserve"> </w:t>
            </w:r>
            <w:r>
              <w:t xml:space="preserve">place</w:t>
            </w:r>
          </w:p>
        </w:tc>
        <w:tc>
          <w:tcPr>
            <w:tcW w:type="pct" w:w="550"/>
            <w:tcBorders>
              <w:top w:val="single" w:sz="8" w:space="0" w:color="000000"/>
              <w:left w:val="single" w:sz="8" w:space="0" w:color="000000"/>
              <w:bottom w:val="single" w:sz="8" w:space="0" w:color="000000"/>
              <w:right w:val="single" w:sz="8" w:space="0" w:color="000000"/>
            </w:tcBorders>
          </w:tcPr>
          <w:p>
            <w:pPr>
              <w:pStyle w:val="Compact"/>
              <w:jc w:val="left"/>
            </w:pPr>
            <w:r>
              <w:t xml:space="preserve">Implemented</w:t>
            </w:r>
          </w:p>
        </w:tc>
      </w:tr>
      <w:tr>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International transfers (Chapter V)</w:t>
            </w:r>
          </w:p>
        </w:tc>
        <w:tc>
          <w:tcPr>
            <w:tcW w:type="pct" w:w="1800"/>
            <w:tcBorders>
              <w:top w:val="single" w:sz="8" w:space="0" w:color="000000"/>
              <w:left w:val="single" w:sz="8" w:space="0" w:color="000000"/>
              <w:bottom w:val="single" w:sz="8" w:space="0" w:color="000000"/>
              <w:right w:val="single" w:sz="8" w:space="0" w:color="000000"/>
            </w:tcBorders>
          </w:tcPr>
          <w:p>
            <w:pPr>
              <w:pStyle w:val="Compact"/>
              <w:jc w:val="left"/>
            </w:pPr>
            <w:r>
              <w:t xml:space="preserve">Canonical ledger and off-chain</w:t>
            </w:r>
            <w:r>
              <w:t xml:space="preserve"> </w:t>
            </w:r>
            <w:r>
              <w:t xml:space="preserve">reconciling store: EU-region hosting, no transfer. IDV provider: SCCs</w:t>
            </w:r>
            <w:r>
              <w:t xml:space="preserve"> </w:t>
            </w:r>
            <w:r>
              <w:t xml:space="preserve">applied where provider operates outside EEA; separate Chapter V</w:t>
            </w:r>
            <w:r>
              <w:t xml:space="preserve"> </w:t>
            </w:r>
            <w:r>
              <w:t xml:space="preserve">assessment documented.</w:t>
            </w:r>
          </w:p>
        </w:tc>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EU data residency for primary processing; SCC</w:t>
            </w:r>
            <w:r>
              <w:t xml:space="preserve"> </w:t>
            </w:r>
            <w:r>
              <w:t xml:space="preserve">coverage for IDV</w:t>
            </w:r>
          </w:p>
        </w:tc>
        <w:tc>
          <w:tcPr>
            <w:tcW w:type="pct" w:w="550"/>
            <w:tcBorders>
              <w:top w:val="single" w:sz="8" w:space="0" w:color="000000"/>
              <w:left w:val="single" w:sz="8" w:space="0" w:color="000000"/>
              <w:bottom w:val="single" w:sz="8" w:space="0" w:color="000000"/>
              <w:right w:val="single" w:sz="8" w:space="0" w:color="000000"/>
            </w:tcBorders>
          </w:tcPr>
          <w:p>
            <w:pPr>
              <w:pStyle w:val="Compact"/>
              <w:jc w:val="left"/>
            </w:pPr>
            <w:r>
              <w:t xml:space="preserve">Implemented / In progress</w:t>
            </w:r>
          </w:p>
        </w:tc>
      </w:tr>
    </w:tbl>
    <w:bookmarkEnd w:id="42"/>
    <w:bookmarkStart w:id="43" w:name="X38c584364dcc50ac437ce6cab6d100dda9451ac"/>
    <w:p>
      <w:pPr>
        <w:numPr>
          <w:ilvl w:val="2"/>
          <w:numId w:val="1004"/>
        </w:numPr>
        <w:pStyle w:val="Heading4"/>
      </w:pPr>
      <w:r>
        <w:t xml:space="preserve">Measures Supporting Data Protection by Design and by Default</w:t>
      </w:r>
      <w:r>
        <w:t xml:space="preserve"> </w:t>
      </w:r>
      <w:r>
        <w:t xml:space="preserve">(Article 25</w:t>
      </w:r>
      <w:r>
        <w:t xml:space="preserve"> </w:t>
      </w:r>
      <w:r>
        <w:t xml:space="preserve">GDPR)</w:t>
      </w:r>
    </w:p>
    <w:p>
      <w:pPr>
        <w:pStyle w:val="FirstParagraph"/>
      </w:pPr>
      <w:r>
        <w:rPr>
          <w:b/>
          <w:bCs/>
        </w:rPr>
        <w:t xml:space="preserve">State-space exclusion — primary architectural measure:</w:t>
      </w:r>
    </w:p>
    <w:p>
      <w:pPr>
        <w:pStyle w:val="BodyText"/>
      </w:pPr>
      <w:r>
        <w:t xml:space="preserve">The Shyware SDK enforces data protection by design through the rejection</w:t>
      </w:r>
      <w:r>
        <w:t xml:space="preserve"> </w:t>
      </w:r>
      <w:r>
        <w:t xml:space="preserve">predicate: the state machine refuses any state transition that would</w:t>
      </w:r>
      <w:r>
        <w:t xml:space="preserve"> </w:t>
      </w:r>
      <w:r>
        <w:t xml:space="preserve">write a record containing sufficient information to derive an</w:t>
      </w:r>
      <w:r>
        <w:t xml:space="preserve"> </w:t>
      </w:r>
      <w:r>
        <w:t xml:space="preserve">association between a List 1 entry (behavioral payload) and a List 2</w:t>
      </w:r>
      <w:r>
        <w:t xml:space="preserve"> </w:t>
      </w:r>
      <w:r>
        <w:t xml:space="preserve">entry (identity hash). This is not a policy, a configuration option, or</w:t>
      </w:r>
      <w:r>
        <w:t xml:space="preserve"> </w:t>
      </w:r>
      <w:r>
        <w:t xml:space="preserve">an access control — it is a property of the reachable canonical state</w:t>
      </w:r>
      <w:r>
        <w:t xml:space="preserve"> </w:t>
      </w:r>
      <w:r>
        <w:t xml:space="preserve">space. No operator-level query can reconstruct the identity-behavior</w:t>
      </w:r>
      <w:r>
        <w:t xml:space="preserve"> </w:t>
      </w:r>
      <w:r>
        <w:t xml:space="preserve">join because canonical state never contained the join.</w:t>
      </w:r>
    </w:p>
    <w:p>
      <w:pPr>
        <w:pStyle w:val="BodyText"/>
      </w:pPr>
      <w:r>
        <w:t xml:space="preserve">This supports Article 25 GDPR at the canonical state-machine layer. The Austrian</w:t>
      </w:r>
      <w:r>
        <w:t xml:space="preserve"> </w:t>
      </w:r>
      <w:r>
        <w:t xml:space="preserve">DSB’s 2022 Google Analytics decision found that pseudonymization</w:t>
      </w:r>
      <w:r>
        <w:t xml:space="preserve"> </w:t>
      </w:r>
      <w:r>
        <w:t xml:space="preserve">retaining a join capability — even if not routinely exercised —</w:t>
      </w:r>
      <w:r>
        <w:t xml:space="preserve"> </w:t>
      </w:r>
      <w:r>
        <w:t xml:space="preserve">constitutes personal data processing because the operator</w:t>
      </w:r>
      <w:r>
        <w:t xml:space="preserve"> </w:t>
      </w:r>
      <w:r>
        <w:rPr>
          <w:i/>
          <w:iCs/>
        </w:rPr>
        <w:t xml:space="preserve">could</w:t>
      </w:r>
      <w:r>
        <w:t xml:space="preserve"> </w:t>
      </w:r>
      <w:r>
        <w:t xml:space="preserve">derive the association. The Shyware architecture eliminates that specific</w:t>
      </w:r>
      <w:r>
        <w:t xml:space="preserve"> </w:t>
      </w:r>
      <w:r>
        <w:t xml:space="preserve">canonical-state representability risk: reachable canonical state does not</w:t>
      </w:r>
      <w:r>
        <w:t xml:space="preserve"> </w:t>
      </w:r>
      <w:r>
        <w:t xml:space="preserve">contain sufficient information for the join regardless of operator</w:t>
      </w:r>
      <w:r>
        <w:t xml:space="preserve"> </w:t>
      </w:r>
      <w:r>
        <w:t xml:space="preserve">capability or intent. Other operational risk surfaces remain separately</w:t>
      </w:r>
      <w:r>
        <w:t xml:space="preserve"> </w:t>
      </w:r>
      <w:r>
        <w:t xml:space="preserve">assessed in this DPIA.</w:t>
      </w:r>
    </w:p>
    <w:p>
      <w:pPr>
        <w:pStyle w:val="BodyText"/>
      </w:pPr>
      <w:r>
        <w:rPr>
          <w:b/>
          <w:bCs/>
        </w:rPr>
        <w:t xml:space="preserve">References:</w:t>
      </w:r>
      <w:r>
        <w:t xml:space="preserve"> </w:t>
      </w:r>
      <w:r>
        <w:t xml:space="preserve">Austrian DSB Decision D155.027 (January 2022);</w:t>
      </w:r>
      <w:r>
        <w:t xml:space="preserve"> </w:t>
      </w:r>
      <w:r>
        <w:t xml:space="preserve">German SDM v3.1, Protection Goal: Unlinkability; BfDI Technical Guidance</w:t>
      </w:r>
      <w:r>
        <w:t xml:space="preserve"> </w:t>
      </w:r>
      <w:r>
        <w:t xml:space="preserve">on Unlinkability (June 2025).</w:t>
      </w:r>
    </w:p>
    <w:p>
      <w:pPr>
        <w:pStyle w:val="BodyText"/>
      </w:pPr>
      <w:r>
        <w:rPr>
          <w:b/>
          <w:bCs/>
        </w:rPr>
        <w:t xml:space="preserve">Default minimization:</w:t>
      </w:r>
      <w:r>
        <w:t xml:space="preserve"> </w:t>
      </w:r>
      <w:r>
        <w:t xml:space="preserve">Aggregate-only analytics by default.</w:t>
      </w:r>
      <w:r>
        <w:t xml:space="preserve"> </w:t>
      </w:r>
      <w:r>
        <w:t xml:space="preserve">User-authenticated reconciling access available on request.</w:t>
      </w:r>
      <w:r>
        <w:t xml:space="preserve"> </w:t>
      </w:r>
      <w:r>
        <w:t xml:space="preserve">Operator-level behavioral history unavailable by design.</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3182"/>
        <w:gridCol w:w="4680"/>
        <w:gridCol w:w="1498"/>
      </w:tblGrid>
      <w:tr>
        <w:trPr>
          <w:tblHeader w:val="on"/>
        </w:trPr>
        <w:tc>
          <w:tcPr>
            <w:tcW w:type="pct" w:w="170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Measure</w:t>
            </w:r>
          </w:p>
        </w:tc>
        <w:tc>
          <w:tcPr>
            <w:tcW w:type="pct" w:w="250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Appropriateness</w:t>
            </w:r>
          </w:p>
        </w:tc>
        <w:tc>
          <w:tcPr>
            <w:tcW w:type="pct" w:w="80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Status</w:t>
            </w:r>
          </w:p>
        </w:tc>
      </w:tr>
      <w:tr>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State-space exclusion (rejection predicate)</w:t>
            </w:r>
          </w:p>
        </w:tc>
        <w:tc>
          <w:tcPr>
            <w:tcW w:type="pct" w:w="2500"/>
            <w:tcBorders>
              <w:top w:val="single" w:sz="8" w:space="0" w:color="000000"/>
              <w:left w:val="single" w:sz="8" w:space="0" w:color="000000"/>
              <w:bottom w:val="single" w:sz="8" w:space="0" w:color="000000"/>
              <w:right w:val="single" w:sz="8" w:space="0" w:color="000000"/>
            </w:tcBorders>
          </w:tcPr>
          <w:p>
            <w:pPr>
              <w:pStyle w:val="Compact"/>
              <w:jc w:val="left"/>
            </w:pPr>
            <w:r>
              <w:t xml:space="preserve">Architectural; satisfies</w:t>
            </w:r>
            <w:r>
              <w:t xml:space="preserve"> </w:t>
            </w:r>
            <w:r>
              <w:t xml:space="preserve">Article 25 at design layer independently of organizational controls</w:t>
            </w:r>
          </w:p>
        </w:tc>
        <w:tc>
          <w:tcPr>
            <w:tcW w:type="pct" w:w="800"/>
            <w:tcBorders>
              <w:top w:val="single" w:sz="8" w:space="0" w:color="000000"/>
              <w:left w:val="single" w:sz="8" w:space="0" w:color="000000"/>
              <w:bottom w:val="single" w:sz="8" w:space="0" w:color="000000"/>
              <w:right w:val="single" w:sz="8" w:space="0" w:color="000000"/>
            </w:tcBorders>
          </w:tcPr>
          <w:p>
            <w:pPr>
              <w:pStyle w:val="Compact"/>
              <w:jc w:val="left"/>
            </w:pPr>
            <w:r>
              <w:t xml:space="preserve">Implemented</w:t>
            </w:r>
          </w:p>
        </w:tc>
      </w:tr>
      <w:tr>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AES-256-GCM payload sealing</w:t>
            </w:r>
          </w:p>
        </w:tc>
        <w:tc>
          <w:tcPr>
            <w:tcW w:type="pct" w:w="2500"/>
            <w:tcBorders>
              <w:top w:val="single" w:sz="8" w:space="0" w:color="000000"/>
              <w:left w:val="single" w:sz="8" w:space="0" w:color="000000"/>
              <w:bottom w:val="single" w:sz="8" w:space="0" w:color="000000"/>
              <w:right w:val="single" w:sz="8" w:space="0" w:color="000000"/>
            </w:tcBorders>
          </w:tcPr>
          <w:p>
            <w:pPr>
              <w:pStyle w:val="Compact"/>
              <w:jc w:val="left"/>
            </w:pPr>
            <w:r>
              <w:t xml:space="preserve">Content inaccessible without sealer key;</w:t>
            </w:r>
            <w:r>
              <w:t xml:space="preserve"> </w:t>
            </w:r>
            <w:r>
              <w:t xml:space="preserve">sealer key excluded from canonical state</w:t>
            </w:r>
          </w:p>
        </w:tc>
        <w:tc>
          <w:tcPr>
            <w:tcW w:type="pct" w:w="800"/>
            <w:tcBorders>
              <w:top w:val="single" w:sz="8" w:space="0" w:color="000000"/>
              <w:left w:val="single" w:sz="8" w:space="0" w:color="000000"/>
              <w:bottom w:val="single" w:sz="8" w:space="0" w:color="000000"/>
              <w:right w:val="single" w:sz="8" w:space="0" w:color="000000"/>
            </w:tcBorders>
          </w:tcPr>
          <w:p>
            <w:pPr>
              <w:pStyle w:val="Compact"/>
              <w:jc w:val="left"/>
            </w:pPr>
            <w:r>
              <w:t xml:space="preserve">Implemented</w:t>
            </w:r>
          </w:p>
        </w:tc>
      </w:tr>
      <w:tr>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Non-composable reconciling interface</w:t>
            </w:r>
          </w:p>
        </w:tc>
        <w:tc>
          <w:tcPr>
            <w:tcW w:type="pct" w:w="2500"/>
            <w:tcBorders>
              <w:top w:val="single" w:sz="8" w:space="0" w:color="000000"/>
              <w:left w:val="single" w:sz="8" w:space="0" w:color="000000"/>
              <w:bottom w:val="single" w:sz="8" w:space="0" w:color="000000"/>
              <w:right w:val="single" w:sz="8" w:space="0" w:color="000000"/>
            </w:tcBorders>
          </w:tcPr>
          <w:p>
            <w:pPr>
              <w:pStyle w:val="Compact"/>
              <w:jc w:val="left"/>
            </w:pPr>
            <w:r>
              <w:t xml:space="preserve">Per-user only; no cross-user</w:t>
            </w:r>
            <w:r>
              <w:t xml:space="preserve"> </w:t>
            </w:r>
            <w:r>
              <w:t xml:space="preserve">queries; no reverse lookup; non-enumerable</w:t>
            </w:r>
          </w:p>
        </w:tc>
        <w:tc>
          <w:tcPr>
            <w:tcW w:type="pct" w:w="800"/>
            <w:tcBorders>
              <w:top w:val="single" w:sz="8" w:space="0" w:color="000000"/>
              <w:left w:val="single" w:sz="8" w:space="0" w:color="000000"/>
              <w:bottom w:val="single" w:sz="8" w:space="0" w:color="000000"/>
              <w:right w:val="single" w:sz="8" w:space="0" w:color="000000"/>
            </w:tcBorders>
          </w:tcPr>
          <w:p>
            <w:pPr>
              <w:pStyle w:val="Compact"/>
              <w:jc w:val="left"/>
            </w:pPr>
            <w:r>
              <w:t xml:space="preserve">Implemented</w:t>
            </w:r>
          </w:p>
        </w:tc>
      </w:tr>
      <w:tr>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Default aggregate-only posture</w:t>
            </w:r>
          </w:p>
        </w:tc>
        <w:tc>
          <w:tcPr>
            <w:tcW w:type="pct" w:w="2500"/>
            <w:tcBorders>
              <w:top w:val="single" w:sz="8" w:space="0" w:color="000000"/>
              <w:left w:val="single" w:sz="8" w:space="0" w:color="000000"/>
              <w:bottom w:val="single" w:sz="8" w:space="0" w:color="000000"/>
              <w:right w:val="single" w:sz="8" w:space="0" w:color="000000"/>
            </w:tcBorders>
          </w:tcPr>
          <w:p>
            <w:pPr>
              <w:pStyle w:val="Compact"/>
              <w:jc w:val="left"/>
            </w:pPr>
            <w:r>
              <w:t xml:space="preserve">No opt-in required; maximum privacy</w:t>
            </w:r>
            <w:r>
              <w:t xml:space="preserve"> </w:t>
            </w:r>
            <w:r>
              <w:t xml:space="preserve">enforced by default</w:t>
            </w:r>
          </w:p>
        </w:tc>
        <w:tc>
          <w:tcPr>
            <w:tcW w:type="pct" w:w="800"/>
            <w:tcBorders>
              <w:top w:val="single" w:sz="8" w:space="0" w:color="000000"/>
              <w:left w:val="single" w:sz="8" w:space="0" w:color="000000"/>
              <w:bottom w:val="single" w:sz="8" w:space="0" w:color="000000"/>
              <w:right w:val="single" w:sz="8" w:space="0" w:color="000000"/>
            </w:tcBorders>
          </w:tcPr>
          <w:p>
            <w:pPr>
              <w:pStyle w:val="Compact"/>
              <w:jc w:val="left"/>
            </w:pPr>
            <w:r>
              <w:t xml:space="preserve">Implemented</w:t>
            </w:r>
          </w:p>
        </w:tc>
      </w:tr>
    </w:tbl>
    <w:bookmarkEnd w:id="43"/>
    <w:bookmarkStart w:id="44" w:name="X3873dfe806c5ffea11cabbcecc4b8582ea49a34"/>
    <w:p>
      <w:pPr>
        <w:numPr>
          <w:ilvl w:val="2"/>
          <w:numId w:val="1004"/>
        </w:numPr>
        <w:pStyle w:val="Heading4"/>
      </w:pPr>
      <w:r>
        <w:t xml:space="preserve">Measures Supporting Security of Processing (Article 32</w:t>
      </w:r>
      <w:r>
        <w:t xml:space="preserve"> </w:t>
      </w:r>
      <w:r>
        <w:t xml:space="preserve">GDPR)</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3838"/>
        <w:gridCol w:w="4212"/>
        <w:gridCol w:w="1310"/>
      </w:tblGrid>
      <w:tr>
        <w:trPr>
          <w:tblHeader w:val="on"/>
        </w:trPr>
        <w:tc>
          <w:tcPr>
            <w:tcW w:type="pct" w:w="205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Measure</w:t>
            </w:r>
          </w:p>
        </w:tc>
        <w:tc>
          <w:tcPr>
            <w:tcW w:type="pct" w:w="225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Appropriateness</w:t>
            </w:r>
          </w:p>
        </w:tc>
        <w:tc>
          <w:tcPr>
            <w:tcW w:type="pct" w:w="70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Status</w:t>
            </w:r>
          </w:p>
        </w:tc>
      </w:tr>
      <w:tr>
        <w:tc>
          <w:tcPr>
            <w:tcW w:type="pct" w:w="2050"/>
            <w:tcBorders>
              <w:top w:val="single" w:sz="8" w:space="0" w:color="000000"/>
              <w:left w:val="single" w:sz="8" w:space="0" w:color="000000"/>
              <w:bottom w:val="single" w:sz="8" w:space="0" w:color="000000"/>
              <w:right w:val="single" w:sz="8" w:space="0" w:color="000000"/>
            </w:tcBorders>
          </w:tcPr>
          <w:p>
            <w:pPr>
              <w:pStyle w:val="Compact"/>
              <w:jc w:val="left"/>
            </w:pPr>
            <w:r>
              <w:t xml:space="preserve">AES-256-GCM payload sealing</w:t>
            </w:r>
          </w:p>
        </w:tc>
        <w:tc>
          <w:tcPr>
            <w:tcW w:type="pct" w:w="2250"/>
            <w:tcBorders>
              <w:top w:val="single" w:sz="8" w:space="0" w:color="000000"/>
              <w:left w:val="single" w:sz="8" w:space="0" w:color="000000"/>
              <w:bottom w:val="single" w:sz="8" w:space="0" w:color="000000"/>
              <w:right w:val="single" w:sz="8" w:space="0" w:color="000000"/>
            </w:tcBorders>
          </w:tcPr>
          <w:p>
            <w:pPr>
              <w:pStyle w:val="Compact"/>
              <w:jc w:val="left"/>
            </w:pPr>
            <w:r>
              <w:t xml:space="preserve">Industry standard; FIPS 140-2 compliant</w:t>
            </w:r>
          </w:p>
        </w:tc>
        <w:tc>
          <w:tcPr>
            <w:tcW w:type="pct" w:w="700"/>
            <w:tcBorders>
              <w:top w:val="single" w:sz="8" w:space="0" w:color="000000"/>
              <w:left w:val="single" w:sz="8" w:space="0" w:color="000000"/>
              <w:bottom w:val="single" w:sz="8" w:space="0" w:color="000000"/>
              <w:right w:val="single" w:sz="8" w:space="0" w:color="000000"/>
            </w:tcBorders>
          </w:tcPr>
          <w:p>
            <w:pPr>
              <w:pStyle w:val="Compact"/>
              <w:jc w:val="left"/>
            </w:pPr>
            <w:r>
              <w:t xml:space="preserve">Implemented</w:t>
            </w:r>
          </w:p>
        </w:tc>
      </w:tr>
      <w:tr>
        <w:tc>
          <w:tcPr>
            <w:tcW w:type="pct" w:w="2050"/>
            <w:tcBorders>
              <w:top w:val="single" w:sz="8" w:space="0" w:color="000000"/>
              <w:left w:val="single" w:sz="8" w:space="0" w:color="000000"/>
              <w:bottom w:val="single" w:sz="8" w:space="0" w:color="000000"/>
              <w:right w:val="single" w:sz="8" w:space="0" w:color="000000"/>
            </w:tcBorders>
          </w:tcPr>
          <w:p>
            <w:pPr>
              <w:pStyle w:val="Compact"/>
              <w:jc w:val="left"/>
            </w:pPr>
            <w:r>
              <w:t xml:space="preserve">TLS 1.3 in transit</w:t>
            </w:r>
          </w:p>
        </w:tc>
        <w:tc>
          <w:tcPr>
            <w:tcW w:type="pct" w:w="2250"/>
            <w:tcBorders>
              <w:top w:val="single" w:sz="8" w:space="0" w:color="000000"/>
              <w:left w:val="single" w:sz="8" w:space="0" w:color="000000"/>
              <w:bottom w:val="single" w:sz="8" w:space="0" w:color="000000"/>
              <w:right w:val="single" w:sz="8" w:space="0" w:color="000000"/>
            </w:tcBorders>
          </w:tcPr>
          <w:p>
            <w:pPr>
              <w:pStyle w:val="Compact"/>
              <w:jc w:val="left"/>
            </w:pPr>
            <w:r>
              <w:t xml:space="preserve">Standard transport security</w:t>
            </w:r>
          </w:p>
        </w:tc>
        <w:tc>
          <w:tcPr>
            <w:tcW w:type="pct" w:w="700"/>
            <w:tcBorders>
              <w:top w:val="single" w:sz="8" w:space="0" w:color="000000"/>
              <w:left w:val="single" w:sz="8" w:space="0" w:color="000000"/>
              <w:bottom w:val="single" w:sz="8" w:space="0" w:color="000000"/>
              <w:right w:val="single" w:sz="8" w:space="0" w:color="000000"/>
            </w:tcBorders>
          </w:tcPr>
          <w:p>
            <w:pPr>
              <w:pStyle w:val="Compact"/>
              <w:jc w:val="left"/>
            </w:pPr>
            <w:r>
              <w:t xml:space="preserve">Implemented</w:t>
            </w:r>
          </w:p>
        </w:tc>
      </w:tr>
      <w:tr>
        <w:tc>
          <w:tcPr>
            <w:tcW w:type="pct" w:w="2050"/>
            <w:tcBorders>
              <w:top w:val="single" w:sz="8" w:space="0" w:color="000000"/>
              <w:left w:val="single" w:sz="8" w:space="0" w:color="000000"/>
              <w:bottom w:val="single" w:sz="8" w:space="0" w:color="000000"/>
              <w:right w:val="single" w:sz="8" w:space="0" w:color="000000"/>
            </w:tcBorders>
          </w:tcPr>
          <w:p>
            <w:pPr>
              <w:pStyle w:val="Compact"/>
              <w:jc w:val="left"/>
            </w:pPr>
            <w:r>
              <w:t xml:space="preserve">HSM-backed period-close signing (AWS KMS ECC_NIST_P256, FIPS 140-3 L3)</w:t>
            </w:r>
          </w:p>
        </w:tc>
        <w:tc>
          <w:tcPr>
            <w:tcW w:type="pct" w:w="2250"/>
            <w:tcBorders>
              <w:top w:val="single" w:sz="8" w:space="0" w:color="000000"/>
              <w:left w:val="single" w:sz="8" w:space="0" w:color="000000"/>
              <w:bottom w:val="single" w:sz="8" w:space="0" w:color="000000"/>
              <w:right w:val="single" w:sz="8" w:space="0" w:color="000000"/>
            </w:tcBorders>
          </w:tcPr>
          <w:p>
            <w:pPr>
              <w:pStyle w:val="Compact"/>
              <w:jc w:val="left"/>
            </w:pPr>
            <w:r>
              <w:t xml:space="preserve">Hardware-enforced; no key material exposure</w:t>
            </w:r>
          </w:p>
        </w:tc>
        <w:tc>
          <w:tcPr>
            <w:tcW w:type="pct" w:w="700"/>
            <w:tcBorders>
              <w:top w:val="single" w:sz="8" w:space="0" w:color="000000"/>
              <w:left w:val="single" w:sz="8" w:space="0" w:color="000000"/>
              <w:bottom w:val="single" w:sz="8" w:space="0" w:color="000000"/>
              <w:right w:val="single" w:sz="8" w:space="0" w:color="000000"/>
            </w:tcBorders>
          </w:tcPr>
          <w:p>
            <w:pPr>
              <w:pStyle w:val="Compact"/>
              <w:jc w:val="left"/>
            </w:pPr>
            <w:r>
              <w:t xml:space="preserve">Implemented</w:t>
            </w:r>
          </w:p>
        </w:tc>
      </w:tr>
      <w:tr>
        <w:tc>
          <w:tcPr>
            <w:tcW w:type="pct" w:w="2050"/>
            <w:tcBorders>
              <w:top w:val="single" w:sz="8" w:space="0" w:color="000000"/>
              <w:left w:val="single" w:sz="8" w:space="0" w:color="000000"/>
              <w:bottom w:val="single" w:sz="8" w:space="0" w:color="000000"/>
              <w:right w:val="single" w:sz="8" w:space="0" w:color="000000"/>
            </w:tcBorders>
          </w:tcPr>
          <w:p>
            <w:pPr>
              <w:pStyle w:val="Compact"/>
              <w:jc w:val="left"/>
            </w:pPr>
            <w:r>
              <w:t xml:space="preserve">BFT distributed ledger consensus</w:t>
            </w:r>
          </w:p>
        </w:tc>
        <w:tc>
          <w:tcPr>
            <w:tcW w:type="pct" w:w="2250"/>
            <w:tcBorders>
              <w:top w:val="single" w:sz="8" w:space="0" w:color="000000"/>
              <w:left w:val="single" w:sz="8" w:space="0" w:color="000000"/>
              <w:bottom w:val="single" w:sz="8" w:space="0" w:color="000000"/>
              <w:right w:val="single" w:sz="8" w:space="0" w:color="000000"/>
            </w:tcBorders>
          </w:tcPr>
          <w:p>
            <w:pPr>
              <w:pStyle w:val="Compact"/>
              <w:jc w:val="left"/>
            </w:pPr>
            <w:r>
              <w:t xml:space="preserve">Byzantine fault tolerant; no single</w:t>
            </w:r>
            <w:r>
              <w:t xml:space="preserve"> </w:t>
            </w:r>
            <w:r>
              <w:t xml:space="preserve">point of failure for canonical state</w:t>
            </w:r>
          </w:p>
        </w:tc>
        <w:tc>
          <w:tcPr>
            <w:tcW w:type="pct" w:w="700"/>
            <w:tcBorders>
              <w:top w:val="single" w:sz="8" w:space="0" w:color="000000"/>
              <w:left w:val="single" w:sz="8" w:space="0" w:color="000000"/>
              <w:bottom w:val="single" w:sz="8" w:space="0" w:color="000000"/>
              <w:right w:val="single" w:sz="8" w:space="0" w:color="000000"/>
            </w:tcBorders>
          </w:tcPr>
          <w:p>
            <w:pPr>
              <w:pStyle w:val="Compact"/>
              <w:jc w:val="left"/>
            </w:pPr>
            <w:r>
              <w:t xml:space="preserve">Implemented</w:t>
            </w:r>
          </w:p>
        </w:tc>
      </w:tr>
      <w:tr>
        <w:tc>
          <w:tcPr>
            <w:tcW w:type="pct" w:w="2050"/>
            <w:tcBorders>
              <w:top w:val="single" w:sz="8" w:space="0" w:color="000000"/>
              <w:left w:val="single" w:sz="8" w:space="0" w:color="000000"/>
              <w:bottom w:val="single" w:sz="8" w:space="0" w:color="000000"/>
              <w:right w:val="single" w:sz="8" w:space="0" w:color="000000"/>
            </w:tcBorders>
          </w:tcPr>
          <w:p>
            <w:pPr>
              <w:pStyle w:val="Compact"/>
              <w:jc w:val="left"/>
            </w:pPr>
            <w:r>
              <w:t xml:space="preserve">CockroachDB EU-region, encryption at rest</w:t>
            </w:r>
          </w:p>
        </w:tc>
        <w:tc>
          <w:tcPr>
            <w:tcW w:type="pct" w:w="2250"/>
            <w:tcBorders>
              <w:top w:val="single" w:sz="8" w:space="0" w:color="000000"/>
              <w:left w:val="single" w:sz="8" w:space="0" w:color="000000"/>
              <w:bottom w:val="single" w:sz="8" w:space="0" w:color="000000"/>
              <w:right w:val="single" w:sz="8" w:space="0" w:color="000000"/>
            </w:tcBorders>
          </w:tcPr>
          <w:p>
            <w:pPr>
              <w:pStyle w:val="Compact"/>
              <w:jc w:val="left"/>
            </w:pPr>
            <w:r>
              <w:t xml:space="preserve">Standard cloud database</w:t>
            </w:r>
            <w:r>
              <w:t xml:space="preserve"> </w:t>
            </w:r>
            <w:r>
              <w:t xml:space="preserve">security</w:t>
            </w:r>
          </w:p>
        </w:tc>
        <w:tc>
          <w:tcPr>
            <w:tcW w:type="pct" w:w="700"/>
            <w:tcBorders>
              <w:top w:val="single" w:sz="8" w:space="0" w:color="000000"/>
              <w:left w:val="single" w:sz="8" w:space="0" w:color="000000"/>
              <w:bottom w:val="single" w:sz="8" w:space="0" w:color="000000"/>
              <w:right w:val="single" w:sz="8" w:space="0" w:color="000000"/>
            </w:tcBorders>
          </w:tcPr>
          <w:p>
            <w:pPr>
              <w:pStyle w:val="Compact"/>
              <w:jc w:val="left"/>
            </w:pPr>
            <w:r>
              <w:t xml:space="preserve">Implemented</w:t>
            </w:r>
          </w:p>
        </w:tc>
      </w:tr>
      <w:tr>
        <w:tc>
          <w:tcPr>
            <w:tcW w:type="pct" w:w="2050"/>
            <w:tcBorders>
              <w:top w:val="single" w:sz="8" w:space="0" w:color="000000"/>
              <w:left w:val="single" w:sz="8" w:space="0" w:color="000000"/>
              <w:bottom w:val="single" w:sz="8" w:space="0" w:color="000000"/>
              <w:right w:val="single" w:sz="8" w:space="0" w:color="000000"/>
            </w:tcBorders>
          </w:tcPr>
          <w:p>
            <w:pPr>
              <w:pStyle w:val="Compact"/>
              <w:jc w:val="left"/>
            </w:pPr>
            <w:r>
              <w:t xml:space="preserve">Identity-gated reconciling API (IDV re-auth per request)</w:t>
            </w:r>
          </w:p>
        </w:tc>
        <w:tc>
          <w:tcPr>
            <w:tcW w:type="pct" w:w="2250"/>
            <w:tcBorders>
              <w:top w:val="single" w:sz="8" w:space="0" w:color="000000"/>
              <w:left w:val="single" w:sz="8" w:space="0" w:color="000000"/>
              <w:bottom w:val="single" w:sz="8" w:space="0" w:color="000000"/>
              <w:right w:val="single" w:sz="8" w:space="0" w:color="000000"/>
            </w:tcBorders>
          </w:tcPr>
          <w:p>
            <w:pPr>
              <w:pStyle w:val="Compact"/>
              <w:jc w:val="left"/>
            </w:pPr>
            <w:r>
              <w:t xml:space="preserve">No anonymous</w:t>
            </w:r>
            <w:r>
              <w:t xml:space="preserve"> </w:t>
            </w:r>
            <w:r>
              <w:t xml:space="preserve">access; no session persistence</w:t>
            </w:r>
          </w:p>
        </w:tc>
        <w:tc>
          <w:tcPr>
            <w:tcW w:type="pct" w:w="700"/>
            <w:tcBorders>
              <w:top w:val="single" w:sz="8" w:space="0" w:color="000000"/>
              <w:left w:val="single" w:sz="8" w:space="0" w:color="000000"/>
              <w:bottom w:val="single" w:sz="8" w:space="0" w:color="000000"/>
              <w:right w:val="single" w:sz="8" w:space="0" w:color="000000"/>
            </w:tcBorders>
          </w:tcPr>
          <w:p>
            <w:pPr>
              <w:pStyle w:val="Compact"/>
              <w:jc w:val="left"/>
            </w:pPr>
            <w:r>
              <w:t xml:space="preserve">Implemented</w:t>
            </w:r>
          </w:p>
        </w:tc>
      </w:tr>
      <w:tr>
        <w:tc>
          <w:tcPr>
            <w:tcW w:type="pct" w:w="2050"/>
            <w:tcBorders>
              <w:top w:val="single" w:sz="8" w:space="0" w:color="000000"/>
              <w:left w:val="single" w:sz="8" w:space="0" w:color="000000"/>
              <w:bottom w:val="single" w:sz="8" w:space="0" w:color="000000"/>
              <w:right w:val="single" w:sz="8" w:space="0" w:color="000000"/>
            </w:tcBorders>
          </w:tcPr>
          <w:p>
            <w:pPr>
              <w:pStyle w:val="Compact"/>
              <w:jc w:val="left"/>
            </w:pPr>
            <w:r>
              <w:t xml:space="preserve">Signed SDK releases, reproducible builds</w:t>
            </w:r>
          </w:p>
        </w:tc>
        <w:tc>
          <w:tcPr>
            <w:tcW w:type="pct" w:w="2250"/>
            <w:tcBorders>
              <w:top w:val="single" w:sz="8" w:space="0" w:color="000000"/>
              <w:left w:val="single" w:sz="8" w:space="0" w:color="000000"/>
              <w:bottom w:val="single" w:sz="8" w:space="0" w:color="000000"/>
              <w:right w:val="single" w:sz="8" w:space="0" w:color="000000"/>
            </w:tcBorders>
          </w:tcPr>
          <w:p>
            <w:pPr>
              <w:pStyle w:val="Compact"/>
              <w:jc w:val="left"/>
            </w:pPr>
            <w:r>
              <w:t xml:space="preserve">Supply chain integrity of</w:t>
            </w:r>
            <w:r>
              <w:t xml:space="preserve"> </w:t>
            </w:r>
            <w:r>
              <w:t xml:space="preserve">rejection predicate</w:t>
            </w:r>
          </w:p>
        </w:tc>
        <w:tc>
          <w:tcPr>
            <w:tcW w:type="pct" w:w="700"/>
            <w:tcBorders>
              <w:top w:val="single" w:sz="8" w:space="0" w:color="000000"/>
              <w:left w:val="single" w:sz="8" w:space="0" w:color="000000"/>
              <w:bottom w:val="single" w:sz="8" w:space="0" w:color="000000"/>
              <w:right w:val="single" w:sz="8" w:space="0" w:color="000000"/>
            </w:tcBorders>
          </w:tcPr>
          <w:p>
            <w:pPr>
              <w:pStyle w:val="Compact"/>
              <w:jc w:val="left"/>
            </w:pPr>
            <w:r>
              <w:t xml:space="preserve">Planned (pre-launch)</w:t>
            </w:r>
          </w:p>
        </w:tc>
      </w:tr>
    </w:tbl>
    <w:p>
      <w:r>
        <w:pict>
          <v:rect style="width:0;height:1.5pt" o:hralign="center" o:hrstd="t" o:hr="t"/>
        </w:pict>
      </w:r>
    </w:p>
    <w:bookmarkEnd w:id="44"/>
    <w:bookmarkEnd w:id="45"/>
    <w:bookmarkEnd w:id="46"/>
    <w:bookmarkStart w:id="50" w:name="X9d26782b5dad5748b3390c329c2db7cf91552d8"/>
    <w:p>
      <w:pPr>
        <w:numPr>
          <w:ilvl w:val="0"/>
          <w:numId w:val="1004"/>
        </w:numPr>
        <w:pStyle w:val="Heading2"/>
      </w:pPr>
      <w:r>
        <w:t xml:space="preserve">CONSIDERATIONS ON NECESSITY AND</w:t>
      </w:r>
      <w:r>
        <w:t xml:space="preserve"> </w:t>
      </w:r>
      <w:r>
        <w:t xml:space="preserve">PROPORTIONALITY</w:t>
      </w:r>
    </w:p>
    <w:bookmarkStart w:id="47" w:name="impacts-on-rights-and-freedoms"/>
    <w:p>
      <w:pPr>
        <w:numPr>
          <w:ilvl w:val="1"/>
          <w:numId w:val="1004"/>
        </w:numPr>
        <w:pStyle w:val="Heading3"/>
      </w:pPr>
      <w:r>
        <w:t xml:space="preserve">Impacts on Rights and</w:t>
      </w:r>
      <w:r>
        <w:t xml:space="preserve"> </w:t>
      </w:r>
      <w:r>
        <w:t xml:space="preserve">Freedoms</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059"/>
        <w:gridCol w:w="2714"/>
        <w:gridCol w:w="1591"/>
        <w:gridCol w:w="2995"/>
      </w:tblGrid>
      <w:tr>
        <w:trPr>
          <w:tblHeader w:val="on"/>
        </w:trPr>
        <w:tc>
          <w:tcPr>
            <w:tcW w:type="pct" w:w="110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Threat</w:t>
            </w:r>
          </w:p>
        </w:tc>
        <w:tc>
          <w:tcPr>
            <w:tcW w:type="pct" w:w="145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How it can materialise</w:t>
            </w:r>
          </w:p>
        </w:tc>
        <w:tc>
          <w:tcPr>
            <w:tcW w:type="pct" w:w="85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Risk Source</w:t>
            </w:r>
          </w:p>
        </w:tc>
        <w:tc>
          <w:tcPr>
            <w:tcW w:type="pct" w:w="160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Impact on Rights</w:t>
            </w:r>
          </w:p>
        </w:tc>
      </w:tr>
      <w:tr>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Re-identification via operator enumeration</w:t>
            </w:r>
          </w:p>
        </w:tc>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Operator queries canonical</w:t>
            </w:r>
            <w:r>
              <w:t xml:space="preserve"> </w:t>
            </w:r>
            <w:r>
              <w:t xml:space="preserve">state to link identity to behavior</w:t>
            </w:r>
          </w:p>
        </w:tc>
        <w:tc>
          <w:tcPr>
            <w:tcW w:type="pct" w:w="850"/>
            <w:tcBorders>
              <w:top w:val="single" w:sz="8" w:space="0" w:color="000000"/>
              <w:left w:val="single" w:sz="8" w:space="0" w:color="000000"/>
              <w:bottom w:val="single" w:sz="8" w:space="0" w:color="000000"/>
              <w:right w:val="single" w:sz="8" w:space="0" w:color="000000"/>
            </w:tcBorders>
          </w:tcPr>
          <w:p>
            <w:pPr>
              <w:pStyle w:val="Compact"/>
              <w:jc w:val="left"/>
            </w:pPr>
            <w:r>
              <w:t xml:space="preserve">Architectural gap allowing join</w:t>
            </w:r>
          </w:p>
        </w:tc>
        <w:tc>
          <w:tcPr>
            <w:tcW w:type="pct" w:w="1600"/>
            <w:tcBorders>
              <w:top w:val="single" w:sz="8" w:space="0" w:color="000000"/>
              <w:left w:val="single" w:sz="8" w:space="0" w:color="000000"/>
              <w:bottom w:val="single" w:sz="8" w:space="0" w:color="000000"/>
              <w:right w:val="single" w:sz="8" w:space="0" w:color="000000"/>
            </w:tcBorders>
          </w:tcPr>
          <w:p>
            <w:pPr>
              <w:pStyle w:val="Compact"/>
              <w:jc w:val="left"/>
            </w:pPr>
            <w:r>
              <w:t xml:space="preserve">Not applicable — canonical state structurally excludes join key;</w:t>
            </w:r>
            <w:r>
              <w:t xml:space="preserve"> </w:t>
            </w:r>
            <w:r>
              <w:t xml:space="preserve">rejection predicate prevents this reachable state</w:t>
            </w:r>
          </w:p>
        </w:tc>
      </w:tr>
      <w:tr>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Sealed payload decryption</w:t>
            </w:r>
          </w:p>
        </w:tc>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Sealer key compromised</w:t>
            </w:r>
          </w:p>
        </w:tc>
        <w:tc>
          <w:tcPr>
            <w:tcW w:type="pct" w:w="850"/>
            <w:tcBorders>
              <w:top w:val="single" w:sz="8" w:space="0" w:color="000000"/>
              <w:left w:val="single" w:sz="8" w:space="0" w:color="000000"/>
              <w:bottom w:val="single" w:sz="8" w:space="0" w:color="000000"/>
              <w:right w:val="single" w:sz="8" w:space="0" w:color="000000"/>
            </w:tcBorders>
          </w:tcPr>
          <w:p>
            <w:pPr>
              <w:pStyle w:val="Compact"/>
              <w:jc w:val="left"/>
            </w:pPr>
            <w:r>
              <w:t xml:space="preserve">Key management</w:t>
            </w:r>
            <w:r>
              <w:t xml:space="preserve"> </w:t>
            </w:r>
            <w:r>
              <w:t xml:space="preserve">failure</w:t>
            </w:r>
          </w:p>
        </w:tc>
        <w:tc>
          <w:tcPr>
            <w:tcW w:type="pct" w:w="1600"/>
            <w:tcBorders>
              <w:top w:val="single" w:sz="8" w:space="0" w:color="000000"/>
              <w:left w:val="single" w:sz="8" w:space="0" w:color="000000"/>
              <w:bottom w:val="single" w:sz="8" w:space="0" w:color="000000"/>
              <w:right w:val="single" w:sz="8" w:space="0" w:color="000000"/>
            </w:tcBorders>
          </w:tcPr>
          <w:p>
            <w:pPr>
              <w:pStyle w:val="Compact"/>
              <w:jc w:val="left"/>
            </w:pPr>
            <w:r>
              <w:t xml:space="preserve">Behavioral content exposed; identity still not linkable</w:t>
            </w:r>
            <w:r>
              <w:t xml:space="preserve"> </w:t>
            </w:r>
            <w:r>
              <w:t xml:space="preserve">without canonical join key</w:t>
            </w:r>
          </w:p>
        </w:tc>
      </w:tr>
      <w:tr>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Off-chain reconciling store breach</w:t>
            </w:r>
          </w:p>
        </w:tc>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Database compromise</w:t>
            </w:r>
          </w:p>
        </w:tc>
        <w:tc>
          <w:tcPr>
            <w:tcW w:type="pct" w:w="850"/>
            <w:tcBorders>
              <w:top w:val="single" w:sz="8" w:space="0" w:color="000000"/>
              <w:left w:val="single" w:sz="8" w:space="0" w:color="000000"/>
              <w:bottom w:val="single" w:sz="8" w:space="0" w:color="000000"/>
              <w:right w:val="single" w:sz="8" w:space="0" w:color="000000"/>
            </w:tcBorders>
          </w:tcPr>
          <w:p>
            <w:pPr>
              <w:pStyle w:val="Compact"/>
              <w:jc w:val="left"/>
            </w:pPr>
            <w:r>
              <w:t xml:space="preserve">Infrastructure vulnerability</w:t>
            </w:r>
          </w:p>
        </w:tc>
        <w:tc>
          <w:tcPr>
            <w:tcW w:type="pct" w:w="1600"/>
            <w:tcBorders>
              <w:top w:val="single" w:sz="8" w:space="0" w:color="000000"/>
              <w:left w:val="single" w:sz="8" w:space="0" w:color="000000"/>
              <w:bottom w:val="single" w:sz="8" w:space="0" w:color="000000"/>
              <w:right w:val="single" w:sz="8" w:space="0" w:color="000000"/>
            </w:tcBorders>
          </w:tcPr>
          <w:p>
            <w:pPr>
              <w:pStyle w:val="Compact"/>
              <w:jc w:val="left"/>
            </w:pPr>
            <w:r>
              <w:t xml:space="preserve">Per-user behavioral history exposed for</w:t>
            </w:r>
            <w:r>
              <w:t xml:space="preserve"> </w:t>
            </w:r>
            <w:r>
              <w:t xml:space="preserve">affected users; mitigated by identity-gating and encryption at rest</w:t>
            </w:r>
          </w:p>
        </w:tc>
      </w:tr>
      <w:tr>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IDV provider compromise</w:t>
            </w:r>
          </w:p>
        </w:tc>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IDV credential theft or breach</w:t>
            </w:r>
          </w:p>
        </w:tc>
        <w:tc>
          <w:tcPr>
            <w:tcW w:type="pct" w:w="850"/>
            <w:tcBorders>
              <w:top w:val="single" w:sz="8" w:space="0" w:color="000000"/>
              <w:left w:val="single" w:sz="8" w:space="0" w:color="000000"/>
              <w:bottom w:val="single" w:sz="8" w:space="0" w:color="000000"/>
              <w:right w:val="single" w:sz="8" w:space="0" w:color="000000"/>
            </w:tcBorders>
          </w:tcPr>
          <w:p>
            <w:pPr>
              <w:pStyle w:val="Compact"/>
              <w:jc w:val="left"/>
            </w:pPr>
            <w:r>
              <w:t xml:space="preserve">Third-party</w:t>
            </w:r>
            <w:r>
              <w:t xml:space="preserve"> </w:t>
            </w:r>
            <w:r>
              <w:t xml:space="preserve">risk</w:t>
            </w:r>
          </w:p>
        </w:tc>
        <w:tc>
          <w:tcPr>
            <w:tcW w:type="pct" w:w="1600"/>
            <w:tcBorders>
              <w:top w:val="single" w:sz="8" w:space="0" w:color="000000"/>
              <w:left w:val="single" w:sz="8" w:space="0" w:color="000000"/>
              <w:bottom w:val="single" w:sz="8" w:space="0" w:color="000000"/>
              <w:right w:val="single" w:sz="8" w:space="0" w:color="000000"/>
            </w:tcBorders>
          </w:tcPr>
          <w:p>
            <w:pPr>
              <w:pStyle w:val="Compact"/>
              <w:jc w:val="left"/>
            </w:pPr>
            <w:r>
              <w:t xml:space="preserve">Identity re-derivation risk; behavioral history not exposed</w:t>
            </w:r>
            <w:r>
              <w:t xml:space="preserve"> </w:t>
            </w:r>
            <w:r>
              <w:t xml:space="preserve">without separate reconciling store breach</w:t>
            </w:r>
          </w:p>
        </w:tc>
      </w:tr>
      <w:tr>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Coercion / compelled delegation</w:t>
            </w:r>
          </w:p>
        </w:tc>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User forced to share reconciling</w:t>
            </w:r>
            <w:r>
              <w:t xml:space="preserve"> </w:t>
            </w:r>
            <w:r>
              <w:t xml:space="preserve">history</w:t>
            </w:r>
          </w:p>
        </w:tc>
        <w:tc>
          <w:tcPr>
            <w:tcW w:type="pct" w:w="850"/>
            <w:tcBorders>
              <w:top w:val="single" w:sz="8" w:space="0" w:color="000000"/>
              <w:left w:val="single" w:sz="8" w:space="0" w:color="000000"/>
              <w:bottom w:val="single" w:sz="8" w:space="0" w:color="000000"/>
              <w:right w:val="single" w:sz="8" w:space="0" w:color="000000"/>
            </w:tcBorders>
          </w:tcPr>
          <w:p>
            <w:pPr>
              <w:pStyle w:val="Compact"/>
              <w:jc w:val="left"/>
            </w:pPr>
            <w:r>
              <w:t xml:space="preserve">Social or contractual pressure</w:t>
            </w:r>
          </w:p>
        </w:tc>
        <w:tc>
          <w:tcPr>
            <w:tcW w:type="pct" w:w="1600"/>
            <w:tcBorders>
              <w:top w:val="single" w:sz="8" w:space="0" w:color="000000"/>
              <w:left w:val="single" w:sz="8" w:space="0" w:color="000000"/>
              <w:bottom w:val="single" w:sz="8" w:space="0" w:color="000000"/>
              <w:right w:val="single" w:sz="8" w:space="0" w:color="000000"/>
            </w:tcBorders>
          </w:tcPr>
          <w:p>
            <w:pPr>
              <w:pStyle w:val="Compact"/>
              <w:jc w:val="left"/>
            </w:pPr>
            <w:r>
              <w:t xml:space="preserve">User-initiated delegation is</w:t>
            </w:r>
            <w:r>
              <w:t xml:space="preserve"> </w:t>
            </w:r>
            <w:r>
              <w:t xml:space="preserve">voluntary and authenticated; operator cannot compel via API</w:t>
            </w:r>
          </w:p>
        </w:tc>
      </w:tr>
    </w:tbl>
    <w:bookmarkEnd w:id="47"/>
    <w:bookmarkStart w:id="48" w:name="necessity-assessment"/>
    <w:p>
      <w:pPr>
        <w:numPr>
          <w:ilvl w:val="1"/>
          <w:numId w:val="1004"/>
        </w:numPr>
        <w:pStyle w:val="Heading3"/>
      </w:pPr>
      <w:r>
        <w:t xml:space="preserve">Necessity Assessment</w:t>
      </w:r>
    </w:p>
    <w:p>
      <w:pPr>
        <w:pStyle w:val="FirstParagraph"/>
      </w:pPr>
      <w:r>
        <w:t xml:space="preserve">The Shyware architecture implements the minimum necessary processing for</w:t>
      </w:r>
      <w:r>
        <w:t xml:space="preserve"> </w:t>
      </w:r>
      <w:r>
        <w:t xml:space="preserve">behavioral analytics at enterprise scale: no operator-level</w:t>
      </w:r>
      <w:r>
        <w:t xml:space="preserve"> </w:t>
      </w:r>
      <w:r>
        <w:t xml:space="preserve">identity-behavior join is created at any layer. This is the least</w:t>
      </w:r>
      <w:r>
        <w:t xml:space="preserve"> </w:t>
      </w:r>
      <w:r>
        <w:t xml:space="preserve">intrusive design available that satisfies the German SDM unlinkability</w:t>
      </w:r>
      <w:r>
        <w:t xml:space="preserve"> </w:t>
      </w:r>
      <w:r>
        <w:t xml:space="preserve">protection goal and the Austrian DSB’s re-identification standard.</w:t>
      </w:r>
    </w:p>
    <w:p>
      <w:pPr>
        <w:pStyle w:val="BodyText"/>
      </w:pPr>
      <w:r>
        <w:t xml:space="preserve">Alternative architectures assessed and rejected:</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3276"/>
        <w:gridCol w:w="6084"/>
      </w:tblGrid>
      <w:tr>
        <w:trPr>
          <w:tblHeader w:val="on"/>
        </w:trPr>
        <w:tc>
          <w:tcPr>
            <w:tcW w:type="pct" w:w="175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Alternative</w:t>
            </w:r>
          </w:p>
        </w:tc>
        <w:tc>
          <w:tcPr>
            <w:tcW w:type="pct" w:w="325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Reason Rejected</w:t>
            </w:r>
          </w:p>
        </w:tc>
      </w:tr>
      <w:tr>
        <w:tc>
          <w:tcPr>
            <w:tcW w:type="pct" w:w="1750"/>
            <w:tcBorders>
              <w:top w:val="single" w:sz="8" w:space="0" w:color="000000"/>
              <w:left w:val="single" w:sz="8" w:space="0" w:color="000000"/>
              <w:bottom w:val="single" w:sz="8" w:space="0" w:color="000000"/>
              <w:right w:val="single" w:sz="8" w:space="0" w:color="000000"/>
            </w:tcBorders>
          </w:tcPr>
          <w:p>
            <w:pPr>
              <w:pStyle w:val="Compact"/>
              <w:jc w:val="left"/>
            </w:pPr>
            <w:r>
              <w:t xml:space="preserve">Server-side tagging / proxy routing</w:t>
            </w:r>
          </w:p>
        </w:tc>
        <w:tc>
          <w:tcPr>
            <w:tcW w:type="pct" w:w="3250"/>
            <w:tcBorders>
              <w:top w:val="single" w:sz="8" w:space="0" w:color="000000"/>
              <w:left w:val="single" w:sz="8" w:space="0" w:color="000000"/>
              <w:bottom w:val="single" w:sz="8" w:space="0" w:color="000000"/>
              <w:right w:val="single" w:sz="8" w:space="0" w:color="000000"/>
            </w:tcBorders>
          </w:tcPr>
          <w:p>
            <w:pPr>
              <w:pStyle w:val="Compact"/>
              <w:jc w:val="left"/>
            </w:pPr>
            <w:r>
              <w:t xml:space="preserve">Retains identity-behavior join</w:t>
            </w:r>
            <w:r>
              <w:t xml:space="preserve"> </w:t>
            </w:r>
            <w:r>
              <w:t xml:space="preserve">capability at operator level; Austrian DSB found this insufficient</w:t>
            </w:r>
            <w:r>
              <w:t xml:space="preserve"> </w:t>
            </w:r>
            <w:r>
              <w:t xml:space="preserve">(2022); German SDM unlinkability not satisfied</w:t>
            </w:r>
          </w:p>
        </w:tc>
      </w:tr>
      <w:tr>
        <w:tc>
          <w:tcPr>
            <w:tcW w:type="pct" w:w="1750"/>
            <w:tcBorders>
              <w:top w:val="single" w:sz="8" w:space="0" w:color="000000"/>
              <w:left w:val="single" w:sz="8" w:space="0" w:color="000000"/>
              <w:bottom w:val="single" w:sz="8" w:space="0" w:color="000000"/>
              <w:right w:val="single" w:sz="8" w:space="0" w:color="000000"/>
            </w:tcBorders>
          </w:tcPr>
          <w:p>
            <w:pPr>
              <w:pStyle w:val="Compact"/>
              <w:jc w:val="left"/>
            </w:pPr>
            <w:r>
              <w:t xml:space="preserve">Pseudonymization with lookup table</w:t>
            </w:r>
          </w:p>
        </w:tc>
        <w:tc>
          <w:tcPr>
            <w:tcW w:type="pct" w:w="3250"/>
            <w:tcBorders>
              <w:top w:val="single" w:sz="8" w:space="0" w:color="000000"/>
              <w:left w:val="single" w:sz="8" w:space="0" w:color="000000"/>
              <w:bottom w:val="single" w:sz="8" w:space="0" w:color="000000"/>
              <w:right w:val="single" w:sz="8" w:space="0" w:color="000000"/>
            </w:tcBorders>
          </w:tcPr>
          <w:p>
            <w:pPr>
              <w:pStyle w:val="Compact"/>
              <w:jc w:val="left"/>
            </w:pPr>
            <w:r>
              <w:t xml:space="preserve">Join key exists in lookup table;</w:t>
            </w:r>
            <w:r>
              <w:t xml:space="preserve"> </w:t>
            </w:r>
            <w:r>
              <w:t xml:space="preserve">operator could derive association; Austrian DSB standard not met</w:t>
            </w:r>
          </w:p>
        </w:tc>
      </w:tr>
      <w:tr>
        <w:tc>
          <w:tcPr>
            <w:tcW w:type="pct" w:w="1750"/>
            <w:tcBorders>
              <w:top w:val="single" w:sz="8" w:space="0" w:color="000000"/>
              <w:left w:val="single" w:sz="8" w:space="0" w:color="000000"/>
              <w:bottom w:val="single" w:sz="8" w:space="0" w:color="000000"/>
              <w:right w:val="single" w:sz="8" w:space="0" w:color="000000"/>
            </w:tcBorders>
          </w:tcPr>
          <w:p>
            <w:pPr>
              <w:pStyle w:val="Compact"/>
              <w:jc w:val="left"/>
            </w:pPr>
            <w:r>
              <w:t xml:space="preserve">EU data residency only</w:t>
            </w:r>
          </w:p>
        </w:tc>
        <w:tc>
          <w:tcPr>
            <w:tcW w:type="pct" w:w="3250"/>
            <w:tcBorders>
              <w:top w:val="single" w:sz="8" w:space="0" w:color="000000"/>
              <w:left w:val="single" w:sz="8" w:space="0" w:color="000000"/>
              <w:bottom w:val="single" w:sz="8" w:space="0" w:color="000000"/>
              <w:right w:val="single" w:sz="8" w:space="0" w:color="000000"/>
            </w:tcBorders>
          </w:tcPr>
          <w:p>
            <w:pPr>
              <w:pStyle w:val="Compact"/>
              <w:jc w:val="left"/>
            </w:pPr>
            <w:r>
              <w:t xml:space="preserve">Addresses Schrems II transfer mechanics but not</w:t>
            </w:r>
            <w:r>
              <w:t xml:space="preserve"> </w:t>
            </w:r>
            <w:r>
              <w:t xml:space="preserve">representability risk; identity-behavior join remains in canonical</w:t>
            </w:r>
            <w:r>
              <w:t xml:space="preserve"> </w:t>
            </w:r>
            <w:r>
              <w:t xml:space="preserve">state</w:t>
            </w:r>
          </w:p>
        </w:tc>
      </w:tr>
      <w:tr>
        <w:tc>
          <w:tcPr>
            <w:tcW w:type="pct" w:w="1750"/>
            <w:tcBorders>
              <w:top w:val="single" w:sz="8" w:space="0" w:color="000000"/>
              <w:left w:val="single" w:sz="8" w:space="0" w:color="000000"/>
              <w:bottom w:val="single" w:sz="8" w:space="0" w:color="000000"/>
              <w:right w:val="single" w:sz="8" w:space="0" w:color="000000"/>
            </w:tcBorders>
          </w:tcPr>
          <w:p>
            <w:pPr>
              <w:pStyle w:val="Compact"/>
              <w:jc w:val="left"/>
            </w:pPr>
            <w:r>
              <w:t xml:space="preserve">Aggregate-only analytics (Plausible / Fathom / Cloudflare)</w:t>
            </w:r>
          </w:p>
        </w:tc>
        <w:tc>
          <w:tcPr>
            <w:tcW w:type="pct" w:w="3250"/>
            <w:tcBorders>
              <w:top w:val="single" w:sz="8" w:space="0" w:color="000000"/>
              <w:left w:val="single" w:sz="8" w:space="0" w:color="000000"/>
              <w:bottom w:val="single" w:sz="8" w:space="0" w:color="000000"/>
              <w:right w:val="single" w:sz="8" w:space="0" w:color="000000"/>
            </w:tcBorders>
          </w:tcPr>
          <w:p>
            <w:pPr>
              <w:pStyle w:val="Compact"/>
              <w:jc w:val="left"/>
            </w:pPr>
            <w:r>
              <w:t xml:space="preserve">Does not</w:t>
            </w:r>
            <w:r>
              <w:t xml:space="preserve"> </w:t>
            </w:r>
            <w:r>
              <w:t xml:space="preserve">support user-authenticated retrieval, credential-free erasure, or</w:t>
            </w:r>
            <w:r>
              <w:t xml:space="preserve"> </w:t>
            </w:r>
            <w:r>
              <w:t xml:space="preserve">period-close compliance attestation; insufficient for enterprise</w:t>
            </w:r>
            <w:r>
              <w:t xml:space="preserve"> </w:t>
            </w:r>
            <w:r>
              <w:t xml:space="preserve">requirements</w:t>
            </w:r>
          </w:p>
        </w:tc>
      </w:tr>
    </w:tbl>
    <w:bookmarkEnd w:id="48"/>
    <w:bookmarkStart w:id="49" w:name="proportionality-assessment"/>
    <w:p>
      <w:pPr>
        <w:numPr>
          <w:ilvl w:val="1"/>
          <w:numId w:val="1004"/>
        </w:numPr>
        <w:pStyle w:val="Heading3"/>
      </w:pPr>
      <w:r>
        <w:t xml:space="preserve">Proportionality</w:t>
      </w:r>
      <w:r>
        <w:t xml:space="preserve"> </w:t>
      </w:r>
      <w:r>
        <w:t xml:space="preserve">Assessment</w:t>
      </w:r>
    </w:p>
    <w:p>
      <w:pPr>
        <w:pStyle w:val="FirstParagraph"/>
      </w:pPr>
      <w:r>
        <w:t xml:space="preserve">Processing is proportionate. The controller’s legitimate interests</w:t>
      </w:r>
      <w:r>
        <w:t xml:space="preserve"> </w:t>
      </w:r>
      <w:r>
        <w:t xml:space="preserve">(product improvement, service quality, regulatory audit compliance) are</w:t>
      </w:r>
      <w:r>
        <w:t xml:space="preserve"> </w:t>
      </w:r>
      <w:r>
        <w:t xml:space="preserve">balanced against data subject privacy interests. Data subject impact is</w:t>
      </w:r>
      <w:r>
        <w:t xml:space="preserve"> </w:t>
      </w:r>
      <w:r>
        <w:t xml:space="preserve">reduced at the canonical state layer: the canonical state contains no</w:t>
      </w:r>
      <w:r>
        <w:t xml:space="preserve"> </w:t>
      </w:r>
      <w:r>
        <w:t xml:space="preserve">identity-behavior join, so canonical-layer profiling, behavioral</w:t>
      </w:r>
      <w:r>
        <w:t xml:space="preserve"> </w:t>
      </w:r>
      <w:r>
        <w:t xml:space="preserve">surveillance, and re-identification are structurally constrained rather</w:t>
      </w:r>
      <w:r>
        <w:t xml:space="preserve"> </w:t>
      </w:r>
      <w:r>
        <w:t xml:space="preserve">than managed only through organizational controls. Period-close HSM</w:t>
      </w:r>
      <w:r>
        <w:t xml:space="preserve"> </w:t>
      </w:r>
      <w:r>
        <w:t xml:space="preserve">attestation provides regulatory verifiability without individual exposure</w:t>
      </w:r>
      <w:r>
        <w:t xml:space="preserve"> </w:t>
      </w:r>
      <w:r>
        <w:t xml:space="preserve">from canonical state.</w:t>
      </w:r>
    </w:p>
    <w:p>
      <w:r>
        <w:pict>
          <v:rect style="width:0;height:1.5pt" o:hralign="center" o:hrstd="t" o:hr="t"/>
        </w:pict>
      </w:r>
    </w:p>
    <w:bookmarkEnd w:id="49"/>
    <w:bookmarkEnd w:id="50"/>
    <w:bookmarkStart w:id="63" w:name="risk-assessment-and-management"/>
    <w:p>
      <w:pPr>
        <w:numPr>
          <w:ilvl w:val="0"/>
          <w:numId w:val="1004"/>
        </w:numPr>
        <w:pStyle w:val="Heading2"/>
      </w:pPr>
      <w:r>
        <w:t xml:space="preserve">RISK ASSESSMENT AND</w:t>
      </w:r>
      <w:r>
        <w:t xml:space="preserve"> </w:t>
      </w:r>
      <w:r>
        <w:t xml:space="preserve">MANAGEMENT</w:t>
      </w:r>
    </w:p>
    <w:bookmarkStart w:id="57" w:name="risk-assessment-and-management-1"/>
    <w:p>
      <w:pPr>
        <w:numPr>
          <w:ilvl w:val="1"/>
          <w:numId w:val="1004"/>
        </w:numPr>
        <w:pStyle w:val="Heading3"/>
      </w:pPr>
      <w:r>
        <w:t xml:space="preserve">Risk Assessment and</w:t>
      </w:r>
      <w:r>
        <w:t xml:space="preserve"> </w:t>
      </w:r>
      <w:r>
        <w:t xml:space="preserve">Management</w:t>
      </w:r>
    </w:p>
    <w:bookmarkStart w:id="51" w:name="threats"/>
    <w:p>
      <w:pPr>
        <w:numPr>
          <w:ilvl w:val="2"/>
          <w:numId w:val="1004"/>
        </w:numPr>
        <w:pStyle w:val="Heading4"/>
      </w:pPr>
      <w:r>
        <w:t xml:space="preserve">Threats</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468"/>
        <w:gridCol w:w="2246"/>
        <w:gridCol w:w="2059"/>
        <w:gridCol w:w="1498"/>
        <w:gridCol w:w="3089"/>
      </w:tblGrid>
      <w:tr>
        <w:trPr>
          <w:tblHeader w:val="on"/>
        </w:trPr>
        <w:tc>
          <w:tcPr>
            <w:tcW w:type="pct" w:w="25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w:t>
            </w:r>
          </w:p>
        </w:tc>
        <w:tc>
          <w:tcPr>
            <w:tcW w:type="pct" w:w="120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Threat</w:t>
            </w:r>
          </w:p>
        </w:tc>
        <w:tc>
          <w:tcPr>
            <w:tcW w:type="pct" w:w="110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Materialisation</w:t>
            </w:r>
          </w:p>
        </w:tc>
        <w:tc>
          <w:tcPr>
            <w:tcW w:type="pct" w:w="80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Risk Source</w:t>
            </w:r>
          </w:p>
        </w:tc>
        <w:tc>
          <w:tcPr>
            <w:tcW w:type="pct" w:w="165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Impact on Data Subjects</w:t>
            </w:r>
          </w:p>
        </w:tc>
      </w:tr>
      <w:tr>
        <w:tc>
          <w:tcPr>
            <w:tcW w:type="pct" w:w="25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Canonical state breach</w:t>
            </w:r>
          </w:p>
        </w:tc>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Attacker extracts full ledger state</w:t>
            </w:r>
          </w:p>
        </w:tc>
        <w:tc>
          <w:tcPr>
            <w:tcW w:type="pct" w:w="800"/>
            <w:tcBorders>
              <w:top w:val="single" w:sz="8" w:space="0" w:color="000000"/>
              <w:left w:val="single" w:sz="8" w:space="0" w:color="000000"/>
              <w:bottom w:val="single" w:sz="8" w:space="0" w:color="000000"/>
              <w:right w:val="single" w:sz="8" w:space="0" w:color="000000"/>
            </w:tcBorders>
          </w:tcPr>
          <w:p>
            <w:pPr>
              <w:pStyle w:val="Compact"/>
              <w:jc w:val="left"/>
            </w:pPr>
            <w:r>
              <w:t xml:space="preserve">Infrastructure vulnerability</w:t>
            </w:r>
          </w:p>
        </w:tc>
        <w:tc>
          <w:tcPr>
            <w:tcW w:type="pct" w:w="1650"/>
            <w:tcBorders>
              <w:top w:val="single" w:sz="8" w:space="0" w:color="000000"/>
              <w:left w:val="single" w:sz="8" w:space="0" w:color="000000"/>
              <w:bottom w:val="single" w:sz="8" w:space="0" w:color="000000"/>
              <w:right w:val="single" w:sz="8" w:space="0" w:color="000000"/>
            </w:tcBorders>
          </w:tcPr>
          <w:p>
            <w:pPr>
              <w:pStyle w:val="Compact"/>
              <w:jc w:val="left"/>
            </w:pPr>
            <w:r>
              <w:t xml:space="preserve">Session identifiers and sealed payloads</w:t>
            </w:r>
            <w:r>
              <w:t xml:space="preserve"> </w:t>
            </w:r>
            <w:r>
              <w:t xml:space="preserve">exposed; identity hashes exposed; no join derivable from canonical state</w:t>
            </w:r>
            <w:r>
              <w:t xml:space="preserve"> </w:t>
            </w:r>
            <w:r>
              <w:t xml:space="preserve">alone</w:t>
            </w:r>
          </w:p>
        </w:tc>
      </w:tr>
      <w:tr>
        <w:tc>
          <w:tcPr>
            <w:tcW w:type="pct" w:w="2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Off-chain reconciling store breach</w:t>
            </w:r>
          </w:p>
        </w:tc>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Database compromise</w:t>
            </w:r>
          </w:p>
        </w:tc>
        <w:tc>
          <w:tcPr>
            <w:tcW w:type="pct" w:w="800"/>
            <w:tcBorders>
              <w:top w:val="single" w:sz="8" w:space="0" w:color="000000"/>
              <w:left w:val="single" w:sz="8" w:space="0" w:color="000000"/>
              <w:bottom w:val="single" w:sz="8" w:space="0" w:color="000000"/>
              <w:right w:val="single" w:sz="8" w:space="0" w:color="000000"/>
            </w:tcBorders>
          </w:tcPr>
          <w:p>
            <w:pPr>
              <w:pStyle w:val="Compact"/>
              <w:jc w:val="left"/>
            </w:pPr>
            <w:r>
              <w:t xml:space="preserve">Infrastructure vulnerability</w:t>
            </w:r>
          </w:p>
        </w:tc>
        <w:tc>
          <w:tcPr>
            <w:tcW w:type="pct" w:w="1650"/>
            <w:tcBorders>
              <w:top w:val="single" w:sz="8" w:space="0" w:color="000000"/>
              <w:left w:val="single" w:sz="8" w:space="0" w:color="000000"/>
              <w:bottom w:val="single" w:sz="8" w:space="0" w:color="000000"/>
              <w:right w:val="single" w:sz="8" w:space="0" w:color="000000"/>
            </w:tcBorders>
          </w:tcPr>
          <w:p>
            <w:pPr>
              <w:pStyle w:val="Compact"/>
              <w:jc w:val="left"/>
            </w:pPr>
            <w:r>
              <w:t xml:space="preserve">Per-user behavioral history exposed for</w:t>
            </w:r>
            <w:r>
              <w:t xml:space="preserve"> </w:t>
            </w:r>
            <w:r>
              <w:t xml:space="preserve">affected authenticated users</w:t>
            </w:r>
          </w:p>
        </w:tc>
      </w:tr>
      <w:tr>
        <w:tc>
          <w:tcPr>
            <w:tcW w:type="pct" w:w="25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Sealer key compromise</w:t>
            </w:r>
          </w:p>
        </w:tc>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Sealer key stolen or leaked</w:t>
            </w:r>
          </w:p>
        </w:tc>
        <w:tc>
          <w:tcPr>
            <w:tcW w:type="pct" w:w="800"/>
            <w:tcBorders>
              <w:top w:val="single" w:sz="8" w:space="0" w:color="000000"/>
              <w:left w:val="single" w:sz="8" w:space="0" w:color="000000"/>
              <w:bottom w:val="single" w:sz="8" w:space="0" w:color="000000"/>
              <w:right w:val="single" w:sz="8" w:space="0" w:color="000000"/>
            </w:tcBorders>
          </w:tcPr>
          <w:p>
            <w:pPr>
              <w:pStyle w:val="Compact"/>
              <w:jc w:val="left"/>
            </w:pPr>
            <w:r>
              <w:t xml:space="preserve">Key management</w:t>
            </w:r>
            <w:r>
              <w:t xml:space="preserve"> </w:t>
            </w:r>
            <w:r>
              <w:t xml:space="preserve">failure; internal threat</w:t>
            </w:r>
          </w:p>
        </w:tc>
        <w:tc>
          <w:tcPr>
            <w:tcW w:type="pct" w:w="1650"/>
            <w:tcBorders>
              <w:top w:val="single" w:sz="8" w:space="0" w:color="000000"/>
              <w:left w:val="single" w:sz="8" w:space="0" w:color="000000"/>
              <w:bottom w:val="single" w:sz="8" w:space="0" w:color="000000"/>
              <w:right w:val="single" w:sz="8" w:space="0" w:color="000000"/>
            </w:tcBorders>
          </w:tcPr>
          <w:p>
            <w:pPr>
              <w:pStyle w:val="Compact"/>
              <w:jc w:val="left"/>
            </w:pPr>
            <w:r>
              <w:t xml:space="preserve">Sealed behavioral payloads decryptable;</w:t>
            </w:r>
            <w:r>
              <w:t xml:space="preserve"> </w:t>
            </w:r>
            <w:r>
              <w:t xml:space="preserve">identity-behavior join still not available without canonical join key</w:t>
            </w:r>
          </w:p>
        </w:tc>
      </w:tr>
      <w:tr>
        <w:tc>
          <w:tcPr>
            <w:tcW w:type="pct" w:w="25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IDV provider breach</w:t>
            </w:r>
          </w:p>
        </w:tc>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IDV credential database or signing key</w:t>
            </w:r>
            <w:r>
              <w:t xml:space="preserve"> </w:t>
            </w:r>
            <w:r>
              <w:t xml:space="preserve">compromised</w:t>
            </w:r>
          </w:p>
        </w:tc>
        <w:tc>
          <w:tcPr>
            <w:tcW w:type="pct" w:w="800"/>
            <w:tcBorders>
              <w:top w:val="single" w:sz="8" w:space="0" w:color="000000"/>
              <w:left w:val="single" w:sz="8" w:space="0" w:color="000000"/>
              <w:bottom w:val="single" w:sz="8" w:space="0" w:color="000000"/>
              <w:right w:val="single" w:sz="8" w:space="0" w:color="000000"/>
            </w:tcBorders>
          </w:tcPr>
          <w:p>
            <w:pPr>
              <w:pStyle w:val="Compact"/>
              <w:jc w:val="left"/>
            </w:pPr>
            <w:r>
              <w:t xml:space="preserve">Third-party risk</w:t>
            </w:r>
          </w:p>
        </w:tc>
        <w:tc>
          <w:tcPr>
            <w:tcW w:type="pct" w:w="1650"/>
            <w:tcBorders>
              <w:top w:val="single" w:sz="8" w:space="0" w:color="000000"/>
              <w:left w:val="single" w:sz="8" w:space="0" w:color="000000"/>
              <w:bottom w:val="single" w:sz="8" w:space="0" w:color="000000"/>
              <w:right w:val="single" w:sz="8" w:space="0" w:color="000000"/>
            </w:tcBorders>
          </w:tcPr>
          <w:p>
            <w:pPr>
              <w:pStyle w:val="Compact"/>
              <w:jc w:val="left"/>
            </w:pPr>
            <w:r>
              <w:t xml:space="preserve">Identity re-derivation risk; behavioral</w:t>
            </w:r>
            <w:r>
              <w:t xml:space="preserve"> </w:t>
            </w:r>
            <w:r>
              <w:t xml:space="preserve">history not exposed without separate reconciling store breach</w:t>
            </w:r>
          </w:p>
        </w:tc>
      </w:tr>
      <w:tr>
        <w:tc>
          <w:tcPr>
            <w:tcW w:type="pct" w:w="250"/>
            <w:tcBorders>
              <w:top w:val="single" w:sz="8" w:space="0" w:color="000000"/>
              <w:left w:val="single" w:sz="8" w:space="0" w:color="000000"/>
              <w:bottom w:val="single" w:sz="8" w:space="0" w:color="000000"/>
              <w:right w:val="single" w:sz="8" w:space="0" w:color="000000"/>
            </w:tcBorders>
          </w:tcPr>
          <w:p>
            <w:pPr>
              <w:pStyle w:val="Compact"/>
              <w:jc w:val="left"/>
            </w:pPr>
            <w:r>
              <w:t xml:space="preserve">5</w:t>
            </w:r>
          </w:p>
        </w:tc>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Reconciling API authentication bypass</w:t>
            </w:r>
          </w:p>
        </w:tc>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Auth layer circumvented</w:t>
            </w:r>
          </w:p>
        </w:tc>
        <w:tc>
          <w:tcPr>
            <w:tcW w:type="pct" w:w="800"/>
            <w:tcBorders>
              <w:top w:val="single" w:sz="8" w:space="0" w:color="000000"/>
              <w:left w:val="single" w:sz="8" w:space="0" w:color="000000"/>
              <w:bottom w:val="single" w:sz="8" w:space="0" w:color="000000"/>
              <w:right w:val="single" w:sz="8" w:space="0" w:color="000000"/>
            </w:tcBorders>
          </w:tcPr>
          <w:p>
            <w:pPr>
              <w:pStyle w:val="Compact"/>
              <w:jc w:val="left"/>
            </w:pPr>
            <w:r>
              <w:t xml:space="preserve">Implementation vulnerability</w:t>
            </w:r>
          </w:p>
        </w:tc>
        <w:tc>
          <w:tcPr>
            <w:tcW w:type="pct" w:w="1650"/>
            <w:tcBorders>
              <w:top w:val="single" w:sz="8" w:space="0" w:color="000000"/>
              <w:left w:val="single" w:sz="8" w:space="0" w:color="000000"/>
              <w:bottom w:val="single" w:sz="8" w:space="0" w:color="000000"/>
              <w:right w:val="single" w:sz="8" w:space="0" w:color="000000"/>
            </w:tcBorders>
          </w:tcPr>
          <w:p>
            <w:pPr>
              <w:pStyle w:val="Compact"/>
              <w:jc w:val="left"/>
            </w:pPr>
            <w:r>
              <w:t xml:space="preserve">Per-user history exposed without user</w:t>
            </w:r>
            <w:r>
              <w:t xml:space="preserve"> </w:t>
            </w:r>
            <w:r>
              <w:t xml:space="preserve">participation</w:t>
            </w:r>
          </w:p>
        </w:tc>
      </w:tr>
      <w:tr>
        <w:tc>
          <w:tcPr>
            <w:tcW w:type="pct" w:w="250"/>
            <w:tcBorders>
              <w:top w:val="single" w:sz="8" w:space="0" w:color="000000"/>
              <w:left w:val="single" w:sz="8" w:space="0" w:color="000000"/>
              <w:bottom w:val="single" w:sz="8" w:space="0" w:color="000000"/>
              <w:right w:val="single" w:sz="8" w:space="0" w:color="000000"/>
            </w:tcBorders>
          </w:tcPr>
          <w:p>
            <w:pPr>
              <w:pStyle w:val="Compact"/>
              <w:jc w:val="left"/>
            </w:pPr>
            <w:r>
              <w:t xml:space="preserve">6</w:t>
            </w:r>
          </w:p>
        </w:tc>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SDK supply chain compromise</w:t>
            </w:r>
          </w:p>
        </w:tc>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Malicious or tampered SDK version</w:t>
            </w:r>
            <w:r>
              <w:t xml:space="preserve"> </w:t>
            </w:r>
            <w:r>
              <w:t xml:space="preserve">distributed</w:t>
            </w:r>
          </w:p>
        </w:tc>
        <w:tc>
          <w:tcPr>
            <w:tcW w:type="pct" w:w="800"/>
            <w:tcBorders>
              <w:top w:val="single" w:sz="8" w:space="0" w:color="000000"/>
              <w:left w:val="single" w:sz="8" w:space="0" w:color="000000"/>
              <w:bottom w:val="single" w:sz="8" w:space="0" w:color="000000"/>
              <w:right w:val="single" w:sz="8" w:space="0" w:color="000000"/>
            </w:tcBorders>
          </w:tcPr>
          <w:p>
            <w:pPr>
              <w:pStyle w:val="Compact"/>
              <w:jc w:val="left"/>
            </w:pPr>
            <w:r>
              <w:t xml:space="preserve">Supply chain attack</w:t>
            </w:r>
          </w:p>
        </w:tc>
        <w:tc>
          <w:tcPr>
            <w:tcW w:type="pct" w:w="1650"/>
            <w:tcBorders>
              <w:top w:val="single" w:sz="8" w:space="0" w:color="000000"/>
              <w:left w:val="single" w:sz="8" w:space="0" w:color="000000"/>
              <w:bottom w:val="single" w:sz="8" w:space="0" w:color="000000"/>
              <w:right w:val="single" w:sz="8" w:space="0" w:color="000000"/>
            </w:tcBorders>
          </w:tcPr>
          <w:p>
            <w:pPr>
              <w:pStyle w:val="Compact"/>
              <w:jc w:val="left"/>
            </w:pPr>
            <w:r>
              <w:t xml:space="preserve">Rejection predicate bypassed;</w:t>
            </w:r>
            <w:r>
              <w:t xml:space="preserve"> </w:t>
            </w:r>
            <w:r>
              <w:t xml:space="preserve">canonical join written; structural guarantee broken</w:t>
            </w:r>
          </w:p>
        </w:tc>
      </w:tr>
    </w:tbl>
    <w:bookmarkEnd w:id="51"/>
    <w:bookmarkStart w:id="52" w:name="method"/>
    <w:p>
      <w:pPr>
        <w:numPr>
          <w:ilvl w:val="2"/>
          <w:numId w:val="1004"/>
        </w:numPr>
        <w:pStyle w:val="Heading4"/>
      </w:pPr>
      <w:r>
        <w:t xml:space="preserve">Method</w:t>
      </w:r>
    </w:p>
    <w:p>
      <w:pPr>
        <w:pStyle w:val="FirstParagraph"/>
      </w:pPr>
      <w:r>
        <w:t xml:space="preserve">Likelihood scale: 1 (Negligible) — 2 (Limited) — 3 (Significant) —</w:t>
      </w:r>
      <w:r>
        <w:t xml:space="preserve"> </w:t>
      </w:r>
      <w:r>
        <w:t xml:space="preserve">4 (Maximum)</w:t>
      </w:r>
    </w:p>
    <w:p>
      <w:pPr>
        <w:pStyle w:val="BodyText"/>
      </w:pPr>
      <w:r>
        <w:t xml:space="preserve">Severity scale: 1 (Negligible) — 2 (Limited) — 3 (Significant) — 4</w:t>
      </w:r>
      <w:r>
        <w:t xml:space="preserve"> </w:t>
      </w:r>
      <w:r>
        <w:t xml:space="preserve">(Maximum)</w:t>
      </w:r>
    </w:p>
    <w:p>
      <w:pPr>
        <w:pStyle w:val="BodyText"/>
      </w:pPr>
      <w:r>
        <w:t xml:space="preserve">Risk level: Likelihood × Severity. Acceptable residual threshold: ≤ 4.</w:t>
      </w:r>
      <w:r>
        <w:t xml:space="preserve"> </w:t>
      </w:r>
      <w:r>
        <w:t xml:space="preserve">Risks scoring 5–6 inherently require mitigating measures before</w:t>
      </w:r>
      <w:r>
        <w:t xml:space="preserve"> </w:t>
      </w:r>
      <w:r>
        <w:t xml:space="preserve">proceeding.</w:t>
      </w:r>
    </w:p>
    <w:p>
      <w:pPr>
        <w:pStyle w:val="BodyText"/>
      </w:pPr>
      <w:r>
        <w:t xml:space="preserve">Modulating factors: structural non-representability of canonical state</w:t>
      </w:r>
      <w:r>
        <w:t xml:space="preserve"> </w:t>
      </w:r>
      <w:r>
        <w:t xml:space="preserve">is a downward-modulating factor for all threats involving canonical</w:t>
      </w:r>
      <w:r>
        <w:t xml:space="preserve"> </w:t>
      </w:r>
      <w:r>
        <w:t xml:space="preserve">ledger breach.</w:t>
      </w:r>
    </w:p>
    <w:p>
      <w:pPr>
        <w:pStyle w:val="BodyText"/>
      </w:pPr>
      <w:r>
        <w:t xml:space="preserve">Patent-alignment note: this DPIA is the assessment vehicle for the</w:t>
      </w:r>
      <w:r>
        <w:t xml:space="preserve"> </w:t>
      </w:r>
      <w:r>
        <w:t xml:space="preserve">Mainhub patent posture. The write-side guarantee is canonical-state</w:t>
      </w:r>
      <w:r>
        <w:t xml:space="preserve"> </w:t>
      </w:r>
      <w:r>
        <w:t xml:space="preserve">non-representability: accepted canonical state contains no</w:t>
      </w:r>
      <w:r>
        <w:t xml:space="preserve"> </w:t>
      </w:r>
      <w:r>
        <w:t xml:space="preserve">identity–payload join, no shared observable, and no validator-accepted</w:t>
      </w:r>
      <w:r>
        <w:t xml:space="preserve"> </w:t>
      </w:r>
      <w:r>
        <w:t xml:space="preserve">execution path that computes the participant-specific association from</w:t>
      </w:r>
      <w:r>
        <w:t xml:space="preserve"> </w:t>
      </w:r>
      <w:r>
        <w:t xml:space="preserve">canonical state alone. The reconcile-side control is separate: any</w:t>
      </w:r>
      <w:r>
        <w:t xml:space="preserve"> </w:t>
      </w:r>
      <w:r>
        <w:t xml:space="preserve">recovery, reveal, deletion, restore, redeem, or presence-check workflow</w:t>
      </w:r>
      <w:r>
        <w:t xml:space="preserve"> </w:t>
      </w:r>
      <w:r>
        <w:t xml:space="preserve">must use protected linkage, non-enumerable single-subject retrieval, and</w:t>
      </w:r>
      <w:r>
        <w:t xml:space="preserve"> </w:t>
      </w:r>
      <w:r>
        <w:t xml:space="preserve">provider/authority partitioning. This combined posture does not eliminate</w:t>
      </w:r>
      <w:r>
        <w:t xml:space="preserve"> </w:t>
      </w:r>
      <w:r>
        <w:t xml:space="preserve">risk in the full system. Protected linkage stores, reconciling</w:t>
      </w:r>
      <w:r>
        <w:t xml:space="preserve"> </w:t>
      </w:r>
      <w:r>
        <w:t xml:space="preserve">interfaces, IDV or wallet providers, endpoint/browser state, network</w:t>
      </w:r>
      <w:r>
        <w:t xml:space="preserve"> </w:t>
      </w:r>
      <w:r>
        <w:t xml:space="preserve">timing, controller configuration, and compelled disclosure remain DPIA</w:t>
      </w:r>
      <w:r>
        <w:t xml:space="preserve"> </w:t>
      </w:r>
      <w:r>
        <w:t xml:space="preserve">risk surfaces.</w:t>
      </w:r>
    </w:p>
    <w:bookmarkEnd w:id="52"/>
    <w:bookmarkStart w:id="53" w:name="provider-partition-assessment"/>
    <w:p>
      <w:pPr>
        <w:numPr>
          <w:ilvl w:val="2"/>
          <w:numId w:val="1004"/>
        </w:numPr>
        <w:pStyle w:val="Heading4"/>
      </w:pPr>
      <w:r>
        <w:t xml:space="preserve">Provider Partition Assessment</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872"/>
        <w:gridCol w:w="2714"/>
        <w:gridCol w:w="2714"/>
        <w:gridCol w:w="2059"/>
      </w:tblGrid>
      <w:tr>
        <w:trPr>
          <w:tblHeader w:val="on"/>
        </w:trPr>
        <w:tc>
          <w:tcPr>
            <w:tcW w:type="pct" w:w="10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Role / provider</w:t>
            </w:r>
          </w:p>
        </w:tc>
        <w:tc>
          <w:tcPr>
            <w:tcW w:type="pct" w:w="14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Permitted visibility</w:t>
            </w:r>
          </w:p>
        </w:tc>
        <w:tc>
          <w:tcPr>
            <w:tcW w:type="pct" w:w="14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Must not hold</w:t>
            </w:r>
          </w:p>
        </w:tc>
        <w:tc>
          <w:tcPr>
            <w:tcW w:type="pct" w:w="11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DPIA assessment</w:t>
            </w:r>
          </w:p>
        </w:tc>
      </w:tr>
      <w:tr>
        <w:tc>
          <w:tcPr>
            <w:tcW w:type="pct" w:w="1000"/>
            <w:tcBorders>
              <w:top w:val="single" w:sz="8" w:space="0" w:color="000000"/>
              <w:left w:val="single" w:sz="8" w:space="0" w:color="000000"/>
              <w:bottom w:val="single" w:sz="8" w:space="0" w:color="000000"/>
              <w:right w:val="single" w:sz="8" w:space="0" w:color="000000"/>
            </w:tcBorders>
          </w:tcPr>
          <w:p>
            <w:pPr>
              <w:pStyle w:val="Compact"/>
              <w:jc w:val="left"/>
            </w:pPr>
            <w:r>
              <w:t xml:space="preserve">IDV or authentication provider</w:t>
            </w:r>
          </w:p>
        </w:tc>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Real-world identity, biometric/session evidence, and identity commitment derivation inputs as configured</w:t>
            </w:r>
          </w:p>
        </w:tc>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Behavioral payload, protected linkage table, or canonical commit authority</w:t>
            </w:r>
          </w:p>
        </w:tc>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Must not deanonymize alone; residual risk remains if IDV and linkage roles are consolidated</w:t>
            </w:r>
          </w:p>
        </w:tc>
      </w:tr>
      <w:tr>
        <w:tc>
          <w:tcPr>
            <w:tcW w:type="pct" w:w="1000"/>
            <w:tcBorders>
              <w:top w:val="single" w:sz="8" w:space="0" w:color="000000"/>
              <w:left w:val="single" w:sz="8" w:space="0" w:color="000000"/>
              <w:bottom w:val="single" w:sz="8" w:space="0" w:color="000000"/>
              <w:right w:val="single" w:sz="8" w:space="0" w:color="000000"/>
            </w:tcBorders>
          </w:tcPr>
          <w:p>
            <w:pPr>
              <w:pStyle w:val="Compact"/>
              <w:jc w:val="left"/>
            </w:pPr>
            <w:r>
              <w:t xml:space="preserve">Protected linkage store provider</w:t>
            </w:r>
          </w:p>
        </w:tc>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Identity commitment to submission identifier or recovery reference for the authenticated user</w:t>
            </w:r>
          </w:p>
        </w:tc>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Real-world identity, behavioral payload, bulk export authority, or ordinary canonical write authority</w:t>
            </w:r>
          </w:p>
        </w:tc>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High-risk component; acceptable only with tenant scoping, audit logs, retention limits, and no bulk/enumerable access</w:t>
            </w:r>
          </w:p>
        </w:tc>
      </w:tr>
      <w:tr>
        <w:tc>
          <w:tcPr>
            <w:tcW w:type="pct" w:w="1000"/>
            <w:tcBorders>
              <w:top w:val="single" w:sz="8" w:space="0" w:color="000000"/>
              <w:left w:val="single" w:sz="8" w:space="0" w:color="000000"/>
              <w:bottom w:val="single" w:sz="8" w:space="0" w:color="000000"/>
              <w:right w:val="single" w:sz="8" w:space="0" w:color="000000"/>
            </w:tcBorders>
          </w:tcPr>
          <w:p>
            <w:pPr>
              <w:pStyle w:val="Compact"/>
              <w:jc w:val="left"/>
            </w:pPr>
            <w:r>
              <w:t xml:space="preserve">Reconciling authority</w:t>
            </w:r>
          </w:p>
        </w:tc>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Fresh authenticated request, one permitted action, and at most one payload-free reference per invocation</w:t>
            </w:r>
          </w:p>
        </w:tc>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Iterable domain, reverse lookup, payload content, or ordinary commit keyset</w:t>
            </w:r>
          </w:p>
        </w:tc>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Must remain non-composable and single-subject; any bulk tool requires separate DPIA review</w:t>
            </w:r>
          </w:p>
        </w:tc>
      </w:tr>
      <w:tr>
        <w:tc>
          <w:tcPr>
            <w:tcW w:type="pct" w:w="1000"/>
            <w:tcBorders>
              <w:top w:val="single" w:sz="8" w:space="0" w:color="000000"/>
              <w:left w:val="single" w:sz="8" w:space="0" w:color="000000"/>
              <w:bottom w:val="single" w:sz="8" w:space="0" w:color="000000"/>
              <w:right w:val="single" w:sz="8" w:space="0" w:color="000000"/>
            </w:tcBorders>
          </w:tcPr>
          <w:p>
            <w:pPr>
              <w:pStyle w:val="Compact"/>
              <w:jc w:val="left"/>
            </w:pPr>
            <w:r>
              <w:t xml:space="preserve">Canonical commit authority / validators</w:t>
            </w:r>
          </w:p>
        </w:tc>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Canonical List 1 and List 2 records, aggregate evidence, and state-transition validation</w:t>
            </w:r>
          </w:p>
        </w:tc>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IDV records, protected linkage store, sealer keys, or join-capable intermediate state</w:t>
            </w:r>
          </w:p>
        </w:tc>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Patent-aligned only if rejection predicate and intermediate-state exclusion are implemented and linked to engineering evidence</w:t>
            </w:r>
          </w:p>
        </w:tc>
      </w:tr>
      <w:tr>
        <w:tc>
          <w:tcPr>
            <w:tcW w:type="pct" w:w="1000"/>
            <w:tcBorders>
              <w:top w:val="single" w:sz="8" w:space="0" w:color="000000"/>
              <w:left w:val="single" w:sz="8" w:space="0" w:color="000000"/>
              <w:bottom w:val="single" w:sz="8" w:space="0" w:color="000000"/>
              <w:right w:val="single" w:sz="8" w:space="0" w:color="000000"/>
            </w:tcBorders>
          </w:tcPr>
          <w:p>
            <w:pPr>
              <w:pStyle w:val="Compact"/>
              <w:jc w:val="left"/>
            </w:pPr>
            <w:r>
              <w:t xml:space="preserve">Telemetry / support provider</w:t>
            </w:r>
          </w:p>
        </w:tc>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Operational metrics and support artifacts necessary to run the service</w:t>
            </w:r>
          </w:p>
        </w:tc>
        <w:tc>
          <w:tcPr>
            <w:tcW w:type="pct" w:w="1450"/>
            <w:tcBorders>
              <w:top w:val="single" w:sz="8" w:space="0" w:color="000000"/>
              <w:left w:val="single" w:sz="8" w:space="0" w:color="000000"/>
              <w:bottom w:val="single" w:sz="8" w:space="0" w:color="000000"/>
              <w:right w:val="single" w:sz="8" w:space="0" w:color="000000"/>
            </w:tcBorders>
          </w:tcPr>
          <w:p>
            <w:pPr>
              <w:pStyle w:val="Compact"/>
              <w:jc w:val="left"/>
            </w:pPr>
            <w:r>
              <w:t xml:space="preserve">Identity hashes, proof hashes, nonces, protected linkage rows, sealed payload plaintext, or recovery outputs</w:t>
            </w:r>
          </w:p>
        </w:tc>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Logging exclusions require production evidence before launch</w:t>
            </w:r>
          </w:p>
        </w:tc>
      </w:tr>
    </w:tbl>
    <w:bookmarkEnd w:id="53"/>
    <w:bookmarkStart w:id="54" w:name="dpia-audit-findings-browser-analytics"/>
    <w:p>
      <w:pPr>
        <w:numPr>
          <w:ilvl w:val="2"/>
          <w:numId w:val="1004"/>
        </w:numPr>
        <w:pStyle w:val="Heading4"/>
      </w:pPr>
      <w:r>
        <w:t xml:space="preserve">DPIA Audit Findings</w:t>
      </w:r>
    </w:p>
    <w:p>
      <w:pPr>
        <w:pStyle w:val="FirstParagraph"/>
      </w:pPr>
      <w:r>
        <w:t xml:space="preserve">This DPIA is the audit record for the browser analytics processing pattern. The scored risk tables below assess the canonical-state guarantee, protected-linkage and reconcile tier, provider partitioning, endpoint/browser exposure, network correlation, IDV or wallet provider risk, and controller-configuration risk. No separate patent-alignment audit is relied on for this processing decision.</w:t>
      </w:r>
    </w:p>
    <w:bookmarkEnd w:id="54"/>
    <w:bookmarkStart w:id="55" w:name="authority-partition-browser-analytics"/>
    <w:p>
      <w:pPr>
        <w:numPr>
          <w:ilvl w:val="2"/>
          <w:numId w:val="1004"/>
        </w:numPr>
        <w:pStyle w:val="Heading4"/>
      </w:pPr>
      <w:r>
        <w:t xml:space="preserve">Authority Partition</w:t>
      </w:r>
    </w:p>
    <w:p>
      <w:pPr>
        <w:pStyle w:val="FirstParagraph"/>
      </w:pPr>
      <w:r>
        <w:t xml:space="preserve">This is a sealer-governed embodiment (no unique-person count-match). Three parties:</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685"/>
        <w:gridCol w:w="3557"/>
        <w:gridCol w:w="4118"/>
      </w:tblGrid>
      <w:tr>
        <w:trPr>
          <w:tblHeader w:val="on"/>
        </w:trPr>
        <w:tc>
          <w:tcPr>
            <w:tcW w:type="pct" w:w="9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Authority</w:t>
            </w:r>
          </w:p>
        </w:tc>
        <w:tc>
          <w:tcPr>
            <w:tcW w:type="pct" w:w="19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Role</w:t>
            </w:r>
          </w:p>
        </w:tc>
        <w:tc>
          <w:tcPr>
            <w:tcW w:type="pct" w:w="22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Structural Constraint</w:t>
            </w:r>
          </w:p>
        </w:tc>
      </w:tr>
      <w:tr>
        <w:tc>
          <w:tcPr>
            <w:tcW w:type="pct" w:w="900"/>
            <w:tcBorders>
              <w:top w:val="single" w:sz="8" w:space="0" w:color="000000"/>
              <w:left w:val="single" w:sz="8" w:space="0" w:color="000000"/>
              <w:bottom w:val="single" w:sz="8" w:space="0" w:color="000000"/>
              <w:right w:val="single" w:sz="8" w:space="0" w:color="000000"/>
            </w:tcBorders>
          </w:tcPr>
          <w:p>
            <w:pPr>
              <w:pStyle w:val="Compact"/>
              <w:jc w:val="left"/>
            </w:pPr>
            <w:r>
              <w:t xml:space="preserve">Auth (Cognito)</w:t>
            </w:r>
          </w:p>
        </w:tc>
        <w:tc>
          <w:tcPr>
            <w:tcW w:type="pct" w:w="1900"/>
            <w:tcBorders>
              <w:top w:val="single" w:sz="8" w:space="0" w:color="000000"/>
              <w:left w:val="single" w:sz="8" w:space="0" w:color="000000"/>
              <w:bottom w:val="single" w:sz="8" w:space="0" w:color="000000"/>
              <w:right w:val="single" w:sz="8" w:space="0" w:color="000000"/>
            </w:tcBorders>
          </w:tcPr>
          <w:p>
            <w:pPr>
              <w:pStyle w:val="Compact"/>
              <w:jc w:val="left"/>
            </w:pPr>
            <w:r>
              <w:t xml:space="preserve">Account layer; always required; authentication gate for erasure requests — does NOT hold a co-signature key;</w:t>
            </w:r>
            <w:r>
              <w:t xml:space="preserve"> </w:t>
            </w:r>
            <w:r>
              <w:rPr>
                <w:rStyle w:val="VerbatimChar"/>
              </w:rPr>
              <w:t xml:space="preserve">TxTypeAuthorityRescind</w:t>
            </w:r>
            <w:r>
              <w:t xml:space="preserve"> </w:t>
            </w:r>
            <w:r>
              <w:t xml:space="preserve">is structurally unavailable in sealer-governed deployments</w:t>
            </w:r>
          </w:p>
        </w:tc>
        <w:tc>
          <w:tcPr>
            <w:tcW w:type="pct" w:w="2200"/>
            <w:tcBorders>
              <w:top w:val="single" w:sz="8" w:space="0" w:color="000000"/>
              <w:left w:val="single" w:sz="8" w:space="0" w:color="000000"/>
              <w:bottom w:val="single" w:sz="8" w:space="0" w:color="000000"/>
              <w:right w:val="single" w:sz="8" w:space="0" w:color="000000"/>
            </w:tcBorders>
          </w:tcPr>
          <w:p>
            <w:pPr>
              <w:pStyle w:val="Compact"/>
              <w:jc w:val="left"/>
            </w:pPr>
            <w:r>
              <w:t xml:space="preserve">No canonical delete-only key; erasure = sealer key deletion by reconciling authority on authenticated (Cognito-gated) request; canonical L1/L2 records are BFT-immutable and persist; payload becomes permanently undecryptable</w:t>
            </w:r>
          </w:p>
        </w:tc>
      </w:tr>
      <w:tr>
        <w:tc>
          <w:tcPr>
            <w:tcW w:type="pct" w:w="900"/>
            <w:tcBorders>
              <w:top w:val="single" w:sz="8" w:space="0" w:color="000000"/>
              <w:left w:val="single" w:sz="8" w:space="0" w:color="000000"/>
              <w:bottom w:val="single" w:sz="8" w:space="0" w:color="000000"/>
              <w:right w:val="single" w:sz="8" w:space="0" w:color="000000"/>
            </w:tcBorders>
          </w:tcPr>
          <w:p>
            <w:pPr>
              <w:pStyle w:val="Compact"/>
              <w:jc w:val="left"/>
            </w:pPr>
            <w:r>
              <w:t xml:space="preserve">IDV/KYC (Didit)</w:t>
            </w:r>
          </w:p>
        </w:tc>
        <w:tc>
          <w:tcPr>
            <w:tcW w:type="pct" w:w="1900"/>
            <w:tcBorders>
              <w:top w:val="single" w:sz="8" w:space="0" w:color="000000"/>
              <w:left w:val="single" w:sz="8" w:space="0" w:color="000000"/>
              <w:bottom w:val="single" w:sz="8" w:space="0" w:color="000000"/>
              <w:right w:val="single" w:sz="8" w:space="0" w:color="000000"/>
            </w:tcBorders>
          </w:tcPr>
          <w:p>
            <w:pPr>
              <w:pStyle w:val="Compact"/>
              <w:jc w:val="left"/>
            </w:pPr>
            <w:r>
              <w:t xml:space="preserve">Verifies account belongs to a real, verified person; assessed on authenticated users</w:t>
            </w:r>
          </w:p>
        </w:tc>
        <w:tc>
          <w:tcPr>
            <w:tcW w:type="pct" w:w="2200"/>
            <w:tcBorders>
              <w:top w:val="single" w:sz="8" w:space="0" w:color="000000"/>
              <w:left w:val="single" w:sz="8" w:space="0" w:color="000000"/>
              <w:bottom w:val="single" w:sz="8" w:space="0" w:color="000000"/>
              <w:right w:val="single" w:sz="8" w:space="0" w:color="000000"/>
            </w:tcBorders>
          </w:tcPr>
          <w:p>
            <w:pPr>
              <w:pStyle w:val="Compact"/>
              <w:jc w:val="left"/>
            </w:pPr>
            <w:r>
              <w:t xml:space="preserve">Cannot access sealer, linkage store, or authorize canonical actions</w:t>
            </w:r>
          </w:p>
        </w:tc>
      </w:tr>
      <w:tr>
        <w:tc>
          <w:tcPr>
            <w:tcW w:type="pct" w:w="900"/>
            <w:tcBorders>
              <w:top w:val="single" w:sz="8" w:space="0" w:color="000000"/>
              <w:left w:val="single" w:sz="8" w:space="0" w:color="000000"/>
              <w:bottom w:val="single" w:sz="8" w:space="0" w:color="000000"/>
              <w:right w:val="single" w:sz="8" w:space="0" w:color="000000"/>
            </w:tcBorders>
          </w:tcPr>
          <w:p>
            <w:pPr>
              <w:pStyle w:val="Compact"/>
              <w:jc w:val="left"/>
            </w:pPr>
            <w:r>
              <w:t xml:space="preserve">Reconciling authority</w:t>
            </w:r>
          </w:p>
        </w:tc>
        <w:tc>
          <w:tcPr>
            <w:tcW w:type="pct" w:w="1900"/>
            <w:tcBorders>
              <w:top w:val="single" w:sz="8" w:space="0" w:color="000000"/>
              <w:left w:val="single" w:sz="8" w:space="0" w:color="000000"/>
              <w:bottom w:val="single" w:sz="8" w:space="0" w:color="000000"/>
              <w:right w:val="single" w:sz="8" w:space="0" w:color="000000"/>
            </w:tcBorders>
          </w:tcPr>
          <w:p>
            <w:pPr>
              <w:pStyle w:val="Compact"/>
              <w:jc w:val="left"/>
            </w:pPr>
            <w:r>
              <w:t xml:space="preserve">Off-chain linkage store + sealer keys</w:t>
            </w:r>
          </w:p>
        </w:tc>
        <w:tc>
          <w:tcPr>
            <w:tcW w:type="pct" w:w="2200"/>
            <w:tcBorders>
              <w:top w:val="single" w:sz="8" w:space="0" w:color="000000"/>
              <w:left w:val="single" w:sz="8" w:space="0" w:color="000000"/>
              <w:bottom w:val="single" w:sz="8" w:space="0" w:color="000000"/>
              <w:right w:val="single" w:sz="8" w:space="0" w:color="000000"/>
            </w:tcBorders>
          </w:tcPr>
          <w:p>
            <w:pPr>
              <w:pStyle w:val="Compact"/>
              <w:jc w:val="left"/>
            </w:pPr>
            <w:r>
              <w:t xml:space="preserve">Eligibility key never registered at scoping-identifier creation; rescission pathway unavailable by construction at the state-machine validation layer</w:t>
            </w:r>
          </w:p>
        </w:tc>
      </w:tr>
    </w:tbl>
    <w:p>
      <w:pPr>
        <w:pStyle w:val="BodyText"/>
      </w:pPr>
      <w:r>
        <w:t xml:space="preserve">Because this is a sealer-governed deployment, no eligibility authority key is registered and the rescission mechanism is structurally unavailable. The worst-case unilateral threat is payload disclosure via the sealer (reconciling authority).</w:t>
      </w:r>
    </w:p>
    <w:bookmarkEnd w:id="55"/>
    <w:bookmarkStart w:id="56" w:name="inherent-risk-assessment"/>
    <w:p>
      <w:pPr>
        <w:numPr>
          <w:ilvl w:val="2"/>
          <w:numId w:val="1004"/>
        </w:numPr>
        <w:pStyle w:val="Heading4"/>
      </w:pPr>
      <w:r>
        <w:t xml:space="preserve">Inherent Risk Assessment</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527"/>
        <w:gridCol w:w="655"/>
        <w:gridCol w:w="655"/>
        <w:gridCol w:w="3744"/>
        <w:gridCol w:w="655"/>
        <w:gridCol w:w="1123"/>
      </w:tblGrid>
      <w:tr>
        <w:trPr>
          <w:tblHeader w:val="on"/>
        </w:trPr>
        <w:tc>
          <w:tcPr>
            <w:tcW w:type="pct" w:w="135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Risk</w:t>
            </w:r>
          </w:p>
        </w:tc>
        <w:tc>
          <w:tcPr>
            <w:tcW w:type="pct" w:w="35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Likelihood</w:t>
            </w:r>
          </w:p>
        </w:tc>
        <w:tc>
          <w:tcPr>
            <w:tcW w:type="pct" w:w="35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Severity</w:t>
            </w:r>
          </w:p>
        </w:tc>
        <w:tc>
          <w:tcPr>
            <w:tcW w:type="pct" w:w="200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Modulating Factors</w:t>
            </w:r>
          </w:p>
        </w:tc>
        <w:tc>
          <w:tcPr>
            <w:tcW w:type="pct" w:w="35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Risk Level</w:t>
            </w:r>
          </w:p>
        </w:tc>
        <w:tc>
          <w:tcPr>
            <w:tcW w:type="pct" w:w="60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Acceptable?</w:t>
            </w:r>
          </w:p>
        </w:tc>
      </w:tr>
      <w:tr>
        <w:tc>
          <w:tcPr>
            <w:tcW w:type="pct" w:w="1350"/>
            <w:tcBorders>
              <w:top w:val="single" w:sz="8" w:space="0" w:color="000000"/>
              <w:left w:val="single" w:sz="8" w:space="0" w:color="000000"/>
              <w:bottom w:val="single" w:sz="8" w:space="0" w:color="000000"/>
              <w:right w:val="single" w:sz="8" w:space="0" w:color="000000"/>
            </w:tcBorders>
          </w:tcPr>
          <w:p>
            <w:pPr>
              <w:pStyle w:val="Compact"/>
              <w:jc w:val="left"/>
            </w:pPr>
            <w:r>
              <w:t xml:space="preserve">Canonical state breach</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2000"/>
            <w:tcBorders>
              <w:top w:val="single" w:sz="8" w:space="0" w:color="000000"/>
              <w:left w:val="single" w:sz="8" w:space="0" w:color="000000"/>
              <w:bottom w:val="single" w:sz="8" w:space="0" w:color="000000"/>
              <w:right w:val="single" w:sz="8" w:space="0" w:color="000000"/>
            </w:tcBorders>
          </w:tcPr>
          <w:p>
            <w:pPr>
              <w:pStyle w:val="Compact"/>
              <w:jc w:val="left"/>
            </w:pPr>
            <w:r>
              <w:t xml:space="preserve">Structural: no join in canonical state</w:t>
            </w:r>
            <w:r>
              <w:t xml:space="preserve"> </w:t>
            </w:r>
            <w:r>
              <w:t xml:space="preserve">limits harm materially even on full breach</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600"/>
            <w:tcBorders>
              <w:top w:val="single" w:sz="8" w:space="0" w:color="000000"/>
              <w:left w:val="single" w:sz="8" w:space="0" w:color="000000"/>
              <w:bottom w:val="single" w:sz="8" w:space="0" w:color="000000"/>
              <w:right w:val="single" w:sz="8" w:space="0" w:color="000000"/>
            </w:tcBorders>
          </w:tcPr>
          <w:p>
            <w:pPr>
              <w:pStyle w:val="Compact"/>
              <w:jc w:val="left"/>
            </w:pPr>
            <w:r>
              <w:t xml:space="preserve">Yes (inherent)</w:t>
            </w:r>
          </w:p>
        </w:tc>
      </w:tr>
      <w:tr>
        <w:tc>
          <w:tcPr>
            <w:tcW w:type="pct" w:w="1350"/>
            <w:tcBorders>
              <w:top w:val="single" w:sz="8" w:space="0" w:color="000000"/>
              <w:left w:val="single" w:sz="8" w:space="0" w:color="000000"/>
              <w:bottom w:val="single" w:sz="8" w:space="0" w:color="000000"/>
              <w:right w:val="single" w:sz="8" w:space="0" w:color="000000"/>
            </w:tcBorders>
          </w:tcPr>
          <w:p>
            <w:pPr>
              <w:pStyle w:val="Compact"/>
              <w:jc w:val="left"/>
            </w:pPr>
            <w:r>
              <w:t xml:space="preserve">Off-chain store breach</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2000"/>
            <w:tcBorders>
              <w:top w:val="single" w:sz="8" w:space="0" w:color="000000"/>
              <w:left w:val="single" w:sz="8" w:space="0" w:color="000000"/>
              <w:bottom w:val="single" w:sz="8" w:space="0" w:color="000000"/>
              <w:right w:val="single" w:sz="8" w:space="0" w:color="000000"/>
            </w:tcBorders>
          </w:tcPr>
          <w:p>
            <w:pPr>
              <w:pStyle w:val="Compact"/>
              <w:jc w:val="left"/>
            </w:pPr>
            <w:r>
              <w:t xml:space="preserve">Identity-gated access limits exposure</w:t>
            </w:r>
            <w:r>
              <w:t xml:space="preserve"> </w:t>
            </w:r>
            <w:r>
              <w:t xml:space="preserve">to individually authenticated users only</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6</w:t>
            </w:r>
          </w:p>
        </w:tc>
        <w:tc>
          <w:tcPr>
            <w:tcW w:type="pct" w:w="600"/>
            <w:tcBorders>
              <w:top w:val="single" w:sz="8" w:space="0" w:color="000000"/>
              <w:left w:val="single" w:sz="8" w:space="0" w:color="000000"/>
              <w:bottom w:val="single" w:sz="8" w:space="0" w:color="000000"/>
              <w:right w:val="single" w:sz="8" w:space="0" w:color="000000"/>
            </w:tcBorders>
          </w:tcPr>
          <w:p>
            <w:pPr>
              <w:pStyle w:val="Compact"/>
              <w:jc w:val="left"/>
            </w:pPr>
            <w:r>
              <w:t xml:space="preserve">Requires mitigation</w:t>
            </w:r>
          </w:p>
        </w:tc>
      </w:tr>
      <w:tr>
        <w:tc>
          <w:tcPr>
            <w:tcW w:type="pct" w:w="1350"/>
            <w:tcBorders>
              <w:top w:val="single" w:sz="8" w:space="0" w:color="000000"/>
              <w:left w:val="single" w:sz="8" w:space="0" w:color="000000"/>
              <w:bottom w:val="single" w:sz="8" w:space="0" w:color="000000"/>
              <w:right w:val="single" w:sz="8" w:space="0" w:color="000000"/>
            </w:tcBorders>
          </w:tcPr>
          <w:p>
            <w:pPr>
              <w:pStyle w:val="Compact"/>
              <w:jc w:val="left"/>
            </w:pPr>
            <w:r>
              <w:t xml:space="preserve">Sealer key compromise</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2000"/>
            <w:tcBorders>
              <w:top w:val="single" w:sz="8" w:space="0" w:color="000000"/>
              <w:left w:val="single" w:sz="8" w:space="0" w:color="000000"/>
              <w:bottom w:val="single" w:sz="8" w:space="0" w:color="000000"/>
              <w:right w:val="single" w:sz="8" w:space="0" w:color="000000"/>
            </w:tcBorders>
          </w:tcPr>
          <w:p>
            <w:pPr>
              <w:pStyle w:val="Compact"/>
              <w:jc w:val="left"/>
            </w:pPr>
            <w:r>
              <w:t xml:space="preserve">HSM-backed; key rotation; join still</w:t>
            </w:r>
            <w:r>
              <w:t xml:space="preserve"> </w:t>
            </w:r>
            <w:r>
              <w:t xml:space="preserve">unavailable</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600"/>
            <w:tcBorders>
              <w:top w:val="single" w:sz="8" w:space="0" w:color="000000"/>
              <w:left w:val="single" w:sz="8" w:space="0" w:color="000000"/>
              <w:bottom w:val="single" w:sz="8" w:space="0" w:color="000000"/>
              <w:right w:val="single" w:sz="8" w:space="0" w:color="000000"/>
            </w:tcBorders>
          </w:tcPr>
          <w:p>
            <w:pPr>
              <w:pStyle w:val="Compact"/>
              <w:jc w:val="left"/>
            </w:pPr>
            <w:r>
              <w:t xml:space="preserve">Yes</w:t>
            </w:r>
          </w:p>
        </w:tc>
      </w:tr>
      <w:tr>
        <w:tc>
          <w:tcPr>
            <w:tcW w:type="pct" w:w="1350"/>
            <w:tcBorders>
              <w:top w:val="single" w:sz="8" w:space="0" w:color="000000"/>
              <w:left w:val="single" w:sz="8" w:space="0" w:color="000000"/>
              <w:bottom w:val="single" w:sz="8" w:space="0" w:color="000000"/>
              <w:right w:val="single" w:sz="8" w:space="0" w:color="000000"/>
            </w:tcBorders>
          </w:tcPr>
          <w:p>
            <w:pPr>
              <w:pStyle w:val="Compact"/>
              <w:jc w:val="left"/>
            </w:pPr>
            <w:r>
              <w:t xml:space="preserve">IDV provider breach</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2000"/>
            <w:tcBorders>
              <w:top w:val="single" w:sz="8" w:space="0" w:color="000000"/>
              <w:left w:val="single" w:sz="8" w:space="0" w:color="000000"/>
              <w:bottom w:val="single" w:sz="8" w:space="0" w:color="000000"/>
              <w:right w:val="single" w:sz="8" w:space="0" w:color="000000"/>
            </w:tcBorders>
          </w:tcPr>
          <w:p>
            <w:pPr>
              <w:pStyle w:val="Compact"/>
              <w:jc w:val="left"/>
            </w:pPr>
            <w:r>
              <w:t xml:space="preserve">Third-party controls; behavioral history</w:t>
            </w:r>
            <w:r>
              <w:t xml:space="preserve"> </w:t>
            </w:r>
            <w:r>
              <w:t xml:space="preserve">not held by IDV</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600"/>
            <w:tcBorders>
              <w:top w:val="single" w:sz="8" w:space="0" w:color="000000"/>
              <w:left w:val="single" w:sz="8" w:space="0" w:color="000000"/>
              <w:bottom w:val="single" w:sz="8" w:space="0" w:color="000000"/>
              <w:right w:val="single" w:sz="8" w:space="0" w:color="000000"/>
            </w:tcBorders>
          </w:tcPr>
          <w:p>
            <w:pPr>
              <w:pStyle w:val="Compact"/>
              <w:jc w:val="left"/>
            </w:pPr>
            <w:r>
              <w:t xml:space="preserve">Yes</w:t>
            </w:r>
          </w:p>
        </w:tc>
      </w:tr>
      <w:tr>
        <w:tc>
          <w:tcPr>
            <w:tcW w:type="pct" w:w="1350"/>
            <w:tcBorders>
              <w:top w:val="single" w:sz="8" w:space="0" w:color="000000"/>
              <w:left w:val="single" w:sz="8" w:space="0" w:color="000000"/>
              <w:bottom w:val="single" w:sz="8" w:space="0" w:color="000000"/>
              <w:right w:val="single" w:sz="8" w:space="0" w:color="000000"/>
            </w:tcBorders>
          </w:tcPr>
          <w:p>
            <w:pPr>
              <w:pStyle w:val="Compact"/>
              <w:jc w:val="left"/>
            </w:pPr>
            <w:r>
              <w:t xml:space="preserve">Reconciling API auth bypass</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2000"/>
            <w:tcBorders>
              <w:top w:val="single" w:sz="8" w:space="0" w:color="000000"/>
              <w:left w:val="single" w:sz="8" w:space="0" w:color="000000"/>
              <w:bottom w:val="single" w:sz="8" w:space="0" w:color="000000"/>
              <w:right w:val="single" w:sz="8" w:space="0" w:color="000000"/>
            </w:tcBorders>
          </w:tcPr>
          <w:p>
            <w:pPr>
              <w:pStyle w:val="Compact"/>
              <w:jc w:val="left"/>
            </w:pPr>
            <w:r>
              <w:t xml:space="preserve">IDV re-auth per request; no</w:t>
            </w:r>
            <w:r>
              <w:t xml:space="preserve"> </w:t>
            </w:r>
            <w:r>
              <w:t xml:space="preserve">session persistence</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600"/>
            <w:tcBorders>
              <w:top w:val="single" w:sz="8" w:space="0" w:color="000000"/>
              <w:left w:val="single" w:sz="8" w:space="0" w:color="000000"/>
              <w:bottom w:val="single" w:sz="8" w:space="0" w:color="000000"/>
              <w:right w:val="single" w:sz="8" w:space="0" w:color="000000"/>
            </w:tcBorders>
          </w:tcPr>
          <w:p>
            <w:pPr>
              <w:pStyle w:val="Compact"/>
              <w:jc w:val="left"/>
            </w:pPr>
            <w:r>
              <w:t xml:space="preserve">Yes</w:t>
            </w:r>
          </w:p>
        </w:tc>
      </w:tr>
      <w:tr>
        <w:tc>
          <w:tcPr>
            <w:tcW w:type="pct" w:w="1350"/>
            <w:tcBorders>
              <w:top w:val="single" w:sz="8" w:space="0" w:color="000000"/>
              <w:left w:val="single" w:sz="8" w:space="0" w:color="000000"/>
              <w:bottom w:val="single" w:sz="8" w:space="0" w:color="000000"/>
              <w:right w:val="single" w:sz="8" w:space="0" w:color="000000"/>
            </w:tcBorders>
          </w:tcPr>
          <w:p>
            <w:pPr>
              <w:pStyle w:val="Compact"/>
              <w:jc w:val="left"/>
            </w:pPr>
            <w:r>
              <w:t xml:space="preserve">SDK supply chain compromise</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2000"/>
            <w:tcBorders>
              <w:top w:val="single" w:sz="8" w:space="0" w:color="000000"/>
              <w:left w:val="single" w:sz="8" w:space="0" w:color="000000"/>
              <w:bottom w:val="single" w:sz="8" w:space="0" w:color="000000"/>
              <w:right w:val="single" w:sz="8" w:space="0" w:color="000000"/>
            </w:tcBorders>
          </w:tcPr>
          <w:p>
            <w:pPr>
              <w:pStyle w:val="Compact"/>
              <w:jc w:val="left"/>
            </w:pPr>
            <w:r>
              <w:t xml:space="preserve">Signed releases; open-source</w:t>
            </w:r>
            <w:r>
              <w:t xml:space="preserve"> </w:t>
            </w:r>
            <w:r>
              <w:t xml:space="preserve">audit; patent-documented rejection predicate as reference</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600"/>
            <w:tcBorders>
              <w:top w:val="single" w:sz="8" w:space="0" w:color="000000"/>
              <w:left w:val="single" w:sz="8" w:space="0" w:color="000000"/>
              <w:bottom w:val="single" w:sz="8" w:space="0" w:color="000000"/>
              <w:right w:val="single" w:sz="8" w:space="0" w:color="000000"/>
            </w:tcBorders>
          </w:tcPr>
          <w:p>
            <w:pPr>
              <w:pStyle w:val="Compact"/>
              <w:jc w:val="left"/>
            </w:pPr>
            <w:r>
              <w:t xml:space="preserve">Yes</w:t>
            </w:r>
          </w:p>
        </w:tc>
      </w:tr>
    </w:tbl>
    <w:bookmarkEnd w:id="56"/>
    <w:bookmarkEnd w:id="57"/>
    <w:bookmarkStart w:id="62" w:name="action-plan"/>
    <w:p>
      <w:pPr>
        <w:numPr>
          <w:ilvl w:val="1"/>
          <w:numId w:val="1004"/>
        </w:numPr>
        <w:pStyle w:val="Heading3"/>
      </w:pPr>
      <w:r>
        <w:t xml:space="preserve">Action Plan</w:t>
      </w:r>
    </w:p>
    <w:bookmarkStart w:id="58" w:name="additional-mitigating-measures"/>
    <w:p>
      <w:pPr>
        <w:numPr>
          <w:ilvl w:val="2"/>
          <w:numId w:val="1004"/>
        </w:numPr>
        <w:pStyle w:val="Heading4"/>
      </w:pPr>
      <w:r>
        <w:t xml:space="preserve">Additional Mitigating</w:t>
      </w:r>
      <w:r>
        <w:t xml:space="preserve"> </w:t>
      </w:r>
      <w:r>
        <w:t xml:space="preserve">Measures</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468"/>
        <w:gridCol w:w="3276"/>
        <w:gridCol w:w="2434"/>
        <w:gridCol w:w="2434"/>
        <w:gridCol w:w="749"/>
      </w:tblGrid>
      <w:tr>
        <w:trPr>
          <w:tblHeader w:val="on"/>
        </w:trPr>
        <w:tc>
          <w:tcPr>
            <w:tcW w:type="pct" w:w="25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w:t>
            </w:r>
          </w:p>
        </w:tc>
        <w:tc>
          <w:tcPr>
            <w:tcW w:type="pct" w:w="175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Measure</w:t>
            </w:r>
          </w:p>
        </w:tc>
        <w:tc>
          <w:tcPr>
            <w:tcW w:type="pct" w:w="130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Mitigated Risk</w:t>
            </w:r>
          </w:p>
        </w:tc>
        <w:tc>
          <w:tcPr>
            <w:tcW w:type="pct" w:w="130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Effectiveness</w:t>
            </w:r>
          </w:p>
        </w:tc>
        <w:tc>
          <w:tcPr>
            <w:tcW w:type="pct" w:w="40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Status</w:t>
            </w:r>
          </w:p>
        </w:tc>
      </w:tr>
      <w:tr>
        <w:tc>
          <w:tcPr>
            <w:tcW w:type="pct" w:w="25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1750"/>
            <w:tcBorders>
              <w:top w:val="single" w:sz="8" w:space="0" w:color="000000"/>
              <w:left w:val="single" w:sz="8" w:space="0" w:color="000000"/>
              <w:bottom w:val="single" w:sz="8" w:space="0" w:color="000000"/>
              <w:right w:val="single" w:sz="8" w:space="0" w:color="000000"/>
            </w:tcBorders>
          </w:tcPr>
          <w:p>
            <w:pPr>
              <w:pStyle w:val="Compact"/>
              <w:jc w:val="left"/>
            </w:pPr>
            <w:r>
              <w:t xml:space="preserve">Encryption at rest — CockroachDB EU-region</w:t>
            </w:r>
          </w:p>
        </w:tc>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Off-chain store</w:t>
            </w:r>
            <w:r>
              <w:t xml:space="preserve"> </w:t>
            </w:r>
            <w:r>
              <w:t xml:space="preserve">breach</w:t>
            </w:r>
          </w:p>
        </w:tc>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Standard; reduces severity from 3 to 2</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Implemented</w:t>
            </w:r>
          </w:p>
        </w:tc>
      </w:tr>
      <w:tr>
        <w:tc>
          <w:tcPr>
            <w:tcW w:type="pct" w:w="2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1750"/>
            <w:tcBorders>
              <w:top w:val="single" w:sz="8" w:space="0" w:color="000000"/>
              <w:left w:val="single" w:sz="8" w:space="0" w:color="000000"/>
              <w:bottom w:val="single" w:sz="8" w:space="0" w:color="000000"/>
              <w:right w:val="single" w:sz="8" w:space="0" w:color="000000"/>
            </w:tcBorders>
          </w:tcPr>
          <w:p>
            <w:pPr>
              <w:pStyle w:val="Compact"/>
              <w:jc w:val="left"/>
            </w:pPr>
            <w:r>
              <w:t xml:space="preserve">Annual independent security audit of SDK rejection predicate</w:t>
            </w:r>
          </w:p>
        </w:tc>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Supply chain / implementation</w:t>
            </w:r>
          </w:p>
        </w:tc>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High — predicate is the core</w:t>
            </w:r>
            <w:r>
              <w:t xml:space="preserve"> </w:t>
            </w:r>
            <w:r>
              <w:t xml:space="preserve">structural guarantee</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Planned (pre-launch)</w:t>
            </w:r>
          </w:p>
        </w:tc>
      </w:tr>
      <w:tr>
        <w:tc>
          <w:tcPr>
            <w:tcW w:type="pct" w:w="25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1750"/>
            <w:tcBorders>
              <w:top w:val="single" w:sz="8" w:space="0" w:color="000000"/>
              <w:left w:val="single" w:sz="8" w:space="0" w:color="000000"/>
              <w:bottom w:val="single" w:sz="8" w:space="0" w:color="000000"/>
              <w:right w:val="single" w:sz="8" w:space="0" w:color="000000"/>
            </w:tcBorders>
          </w:tcPr>
          <w:p>
            <w:pPr>
              <w:pStyle w:val="Compact"/>
              <w:jc w:val="left"/>
            </w:pPr>
            <w:r>
              <w:t xml:space="preserve">IDV re-authentication on every reconciling request (no session</w:t>
            </w:r>
            <w:r>
              <w:t xml:space="preserve"> </w:t>
            </w:r>
            <w:r>
              <w:t xml:space="preserve">persistence)</w:t>
            </w:r>
          </w:p>
        </w:tc>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Reconciling API auth bypass</w:t>
            </w:r>
          </w:p>
        </w:tc>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High — eliminates session</w:t>
            </w:r>
            <w:r>
              <w:t xml:space="preserve"> </w:t>
            </w:r>
            <w:r>
              <w:t xml:space="preserve">hijack vector</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Implemented</w:t>
            </w:r>
          </w:p>
        </w:tc>
      </w:tr>
      <w:tr>
        <w:tc>
          <w:tcPr>
            <w:tcW w:type="pct" w:w="25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1750"/>
            <w:tcBorders>
              <w:top w:val="single" w:sz="8" w:space="0" w:color="000000"/>
              <w:left w:val="single" w:sz="8" w:space="0" w:color="000000"/>
              <w:bottom w:val="single" w:sz="8" w:space="0" w:color="000000"/>
              <w:right w:val="single" w:sz="8" w:space="0" w:color="000000"/>
            </w:tcBorders>
          </w:tcPr>
          <w:p>
            <w:pPr>
              <w:pStyle w:val="Compact"/>
              <w:jc w:val="left"/>
            </w:pPr>
            <w:r>
              <w:t xml:space="preserve">Sealer key rotation policy (quarterly) with HSM custody</w:t>
            </w:r>
          </w:p>
        </w:tc>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Sealer key</w:t>
            </w:r>
            <w:r>
              <w:t xml:space="preserve"> </w:t>
            </w:r>
            <w:r>
              <w:t xml:space="preserve">compromise</w:t>
            </w:r>
          </w:p>
        </w:tc>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Standard; limits exposure window</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Planned (pre-launch)</w:t>
            </w:r>
          </w:p>
        </w:tc>
      </w:tr>
      <w:tr>
        <w:tc>
          <w:tcPr>
            <w:tcW w:type="pct" w:w="250"/>
            <w:tcBorders>
              <w:top w:val="single" w:sz="8" w:space="0" w:color="000000"/>
              <w:left w:val="single" w:sz="8" w:space="0" w:color="000000"/>
              <w:bottom w:val="single" w:sz="8" w:space="0" w:color="000000"/>
              <w:right w:val="single" w:sz="8" w:space="0" w:color="000000"/>
            </w:tcBorders>
          </w:tcPr>
          <w:p>
            <w:pPr>
              <w:pStyle w:val="Compact"/>
              <w:jc w:val="left"/>
            </w:pPr>
            <w:r>
              <w:t xml:space="preserve">5</w:t>
            </w:r>
          </w:p>
        </w:tc>
        <w:tc>
          <w:tcPr>
            <w:tcW w:type="pct" w:w="1750"/>
            <w:tcBorders>
              <w:top w:val="single" w:sz="8" w:space="0" w:color="000000"/>
              <w:left w:val="single" w:sz="8" w:space="0" w:color="000000"/>
              <w:bottom w:val="single" w:sz="8" w:space="0" w:color="000000"/>
              <w:right w:val="single" w:sz="8" w:space="0" w:color="000000"/>
            </w:tcBorders>
          </w:tcPr>
          <w:p>
            <w:pPr>
              <w:pStyle w:val="Compact"/>
              <w:jc w:val="left"/>
            </w:pPr>
            <w:r>
              <w:t xml:space="preserve">Signed SDK releases with reproducible build verification</w:t>
            </w:r>
          </w:p>
        </w:tc>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Supply</w:t>
            </w:r>
            <w:r>
              <w:t xml:space="preserve"> </w:t>
            </w:r>
            <w:r>
              <w:t xml:space="preserve">chain</w:t>
            </w:r>
          </w:p>
        </w:tc>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High — detectable tampering</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Planned (pre-launch)</w:t>
            </w:r>
          </w:p>
        </w:tc>
      </w:tr>
      <w:tr>
        <w:tc>
          <w:tcPr>
            <w:tcW w:type="pct" w:w="250"/>
            <w:tcBorders>
              <w:top w:val="single" w:sz="8" w:space="0" w:color="000000"/>
              <w:left w:val="single" w:sz="8" w:space="0" w:color="000000"/>
              <w:bottom w:val="single" w:sz="8" w:space="0" w:color="000000"/>
              <w:right w:val="single" w:sz="8" w:space="0" w:color="000000"/>
            </w:tcBorders>
          </w:tcPr>
          <w:p>
            <w:pPr>
              <w:pStyle w:val="Compact"/>
              <w:jc w:val="left"/>
            </w:pPr>
            <w:r>
              <w:t xml:space="preserve">6</w:t>
            </w:r>
          </w:p>
        </w:tc>
        <w:tc>
          <w:tcPr>
            <w:tcW w:type="pct" w:w="1750"/>
            <w:tcBorders>
              <w:top w:val="single" w:sz="8" w:space="0" w:color="000000"/>
              <w:left w:val="single" w:sz="8" w:space="0" w:color="000000"/>
              <w:bottom w:val="single" w:sz="8" w:space="0" w:color="000000"/>
              <w:right w:val="single" w:sz="8" w:space="0" w:color="000000"/>
            </w:tcBorders>
          </w:tcPr>
          <w:p>
            <w:pPr>
              <w:pStyle w:val="Compact"/>
              <w:jc w:val="left"/>
            </w:pPr>
            <w:r>
              <w:t xml:space="preserve">Protected-linkage controls: provider partitioning between linkage</w:t>
            </w:r>
            <w:r>
              <w:t xml:space="preserve"> </w:t>
            </w:r>
            <w:r>
              <w:t xml:space="preserve">store, IDV/auth provider, and reconciling authority where supported;</w:t>
            </w:r>
            <w:r>
              <w:t xml:space="preserve"> </w:t>
            </w:r>
            <w:r>
              <w:t xml:space="preserve">tenant scoping; least-privilege operator access; reconcile audit logs;</w:t>
            </w:r>
            <w:r>
              <w:t xml:space="preserve"> </w:t>
            </w:r>
            <w:r>
              <w:t xml:space="preserve">retention limits; and dual-control review for non-user-initiated</w:t>
            </w:r>
            <w:r>
              <w:t xml:space="preserve"> </w:t>
            </w:r>
            <w:r>
              <w:t xml:space="preserve">reconcile</w:t>
            </w:r>
          </w:p>
        </w:tc>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Off-chain linkage and lawful process misuse</w:t>
            </w:r>
          </w:p>
        </w:tc>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High —</w:t>
            </w:r>
            <w:r>
              <w:t xml:space="preserve"> </w:t>
            </w:r>
            <w:r>
              <w:t xml:space="preserve">prevents any ordinary single provider from reconstructing the full</w:t>
            </w:r>
            <w:r>
              <w:t xml:space="preserve"> </w:t>
            </w:r>
            <w:r>
              <w:t xml:space="preserve">identity–payload association and aligns the operational tier with the</w:t>
            </w:r>
            <w:r>
              <w:t xml:space="preserve"> </w:t>
            </w:r>
            <w:r>
              <w:t xml:space="preserve">patent’s protected linkage store constraint</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Planned (pre-launch)</w:t>
            </w:r>
          </w:p>
        </w:tc>
      </w:tr>
      <w:tr>
        <w:tc>
          <w:tcPr>
            <w:tcW w:type="pct" w:w="250"/>
            <w:tcBorders>
              <w:top w:val="single" w:sz="8" w:space="0" w:color="000000"/>
              <w:left w:val="single" w:sz="8" w:space="0" w:color="000000"/>
              <w:bottom w:val="single" w:sz="8" w:space="0" w:color="000000"/>
              <w:right w:val="single" w:sz="8" w:space="0" w:color="000000"/>
            </w:tcBorders>
          </w:tcPr>
          <w:p>
            <w:pPr>
              <w:pStyle w:val="Compact"/>
              <w:jc w:val="left"/>
            </w:pPr>
            <w:r>
              <w:t xml:space="preserve">7</w:t>
            </w:r>
          </w:p>
        </w:tc>
        <w:tc>
          <w:tcPr>
            <w:tcW w:type="pct" w:w="1750"/>
            <w:tcBorders>
              <w:top w:val="single" w:sz="8" w:space="0" w:color="000000"/>
              <w:left w:val="single" w:sz="8" w:space="0" w:color="000000"/>
              <w:bottom w:val="single" w:sz="8" w:space="0" w:color="000000"/>
              <w:right w:val="single" w:sz="8" w:space="0" w:color="000000"/>
            </w:tcBorders>
          </w:tcPr>
          <w:p>
            <w:pPr>
              <w:pStyle w:val="Compact"/>
              <w:jc w:val="left"/>
            </w:pPr>
            <w:r>
              <w:t xml:space="preserve">Browser/endpoint controls: session sealing, ingress shuffling,</w:t>
            </w:r>
            <w:r>
              <w:t xml:space="preserve"> </w:t>
            </w:r>
            <w:r>
              <w:t xml:space="preserve">write-only fallback, one-tap local wipe, and explicit no-global-adversary</w:t>
            </w:r>
            <w:r>
              <w:t xml:space="preserve"> </w:t>
            </w:r>
            <w:r>
              <w:t xml:space="preserve">claim boundary</w:t>
            </w:r>
          </w:p>
        </w:tc>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Endpoint, local, and network correlation</w:t>
            </w:r>
          </w:p>
        </w:tc>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Medium/High</w:t>
            </w:r>
            <w:r>
              <w:t xml:space="preserve"> </w:t>
            </w:r>
            <w:r>
              <w:t xml:space="preserve">— reduces correlation risk but does not replace Tor/VPN/opsec for</w:t>
            </w:r>
            <w:r>
              <w:t xml:space="preserve"> </w:t>
            </w:r>
            <w:r>
              <w:t xml:space="preserve">high-threat users</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Partially implemented; deployment-dependent</w:t>
            </w:r>
          </w:p>
        </w:tc>
      </w:tr>
      <w:tr>
        <w:tc>
          <w:tcPr>
            <w:tcW w:type="pct" w:w="250"/>
            <w:tcBorders>
              <w:top w:val="single" w:sz="8" w:space="0" w:color="000000"/>
              <w:left w:val="single" w:sz="8" w:space="0" w:color="000000"/>
              <w:bottom w:val="single" w:sz="8" w:space="0" w:color="000000"/>
              <w:right w:val="single" w:sz="8" w:space="0" w:color="000000"/>
            </w:tcBorders>
          </w:tcPr>
          <w:p>
            <w:pPr>
              <w:pStyle w:val="Compact"/>
              <w:jc w:val="left"/>
            </w:pPr>
            <w:r>
              <w:t xml:space="preserve">8</w:t>
            </w:r>
          </w:p>
        </w:tc>
        <w:tc>
          <w:tcPr>
            <w:tcW w:type="pct" w:w="1750"/>
            <w:tcBorders>
              <w:top w:val="single" w:sz="8" w:space="0" w:color="000000"/>
              <w:left w:val="single" w:sz="8" w:space="0" w:color="000000"/>
              <w:bottom w:val="single" w:sz="8" w:space="0" w:color="000000"/>
              <w:right w:val="single" w:sz="8" w:space="0" w:color="000000"/>
            </w:tcBorders>
          </w:tcPr>
          <w:p>
            <w:pPr>
              <w:pStyle w:val="Compact"/>
              <w:jc w:val="left"/>
            </w:pPr>
            <w:r>
              <w:t xml:space="preserve">Domain-gating review before reuse outside browser analytics:</w:t>
            </w:r>
            <w:r>
              <w:t xml:space="preserve"> </w:t>
            </w:r>
            <w:r>
              <w:t xml:space="preserve">customer DPIA trigger, legal-basis check, identity-mode selection, and</w:t>
            </w:r>
            <w:r>
              <w:t xml:space="preserve"> </w:t>
            </w:r>
            <w:r>
              <w:t xml:space="preserve">controller configuration sign-off</w:t>
            </w:r>
          </w:p>
        </w:tc>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Overextension of browser analytics DPIA to</w:t>
            </w:r>
            <w:r>
              <w:t xml:space="preserve"> </w:t>
            </w:r>
            <w:r>
              <w:t xml:space="preserve">voting, health, finance, workplace, betting, real estate, or camera/IoT</w:t>
            </w:r>
            <w:r>
              <w:t xml:space="preserve"> </w:t>
            </w:r>
            <w:r>
              <w:t xml:space="preserve">domains</w:t>
            </w:r>
          </w:p>
        </w:tc>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High — prevents relying on the browser analytics DPIA for materially</w:t>
            </w:r>
            <w:r>
              <w:t xml:space="preserve"> </w:t>
            </w:r>
            <w:r>
              <w:t xml:space="preserve">different patent embodiments</w:t>
            </w:r>
          </w:p>
        </w:tc>
        <w:tc>
          <w:tcPr>
            <w:tcW w:type="pct" w:w="400"/>
            <w:tcBorders>
              <w:top w:val="single" w:sz="8" w:space="0" w:color="000000"/>
              <w:left w:val="single" w:sz="8" w:space="0" w:color="000000"/>
              <w:bottom w:val="single" w:sz="8" w:space="0" w:color="000000"/>
              <w:right w:val="single" w:sz="8" w:space="0" w:color="000000"/>
            </w:tcBorders>
          </w:tcPr>
          <w:p>
            <w:pPr>
              <w:pStyle w:val="Compact"/>
              <w:jc w:val="left"/>
            </w:pPr>
            <w:r>
              <w:t xml:space="preserve">Planned</w:t>
            </w:r>
          </w:p>
        </w:tc>
      </w:tr>
    </w:tbl>
    <w:bookmarkEnd w:id="58"/>
    <w:bookmarkStart w:id="59" w:name="X5899446edb21da1600ea29e31c4387df5acc35c"/>
    <w:p>
      <w:pPr>
        <w:numPr>
          <w:ilvl w:val="2"/>
          <w:numId w:val="1004"/>
        </w:numPr>
        <w:pStyle w:val="Heading4"/>
      </w:pPr>
      <w:r>
        <w:t xml:space="preserve">Operator Compliance Instructions</w:t>
      </w:r>
    </w:p>
    <w:p>
      <w:pPr>
        <w:pStyle w:val="FirstParagraph"/>
      </w:pPr>
      <w:r>
        <w:t xml:space="preserve">For the non-code governance residuals identified in this DPIA, the operator is instructed by the</w:t>
      </w:r>
      <w:r>
        <w:t xml:space="preserve"> </w:t>
      </w:r>
      <w:r>
        <w:rPr>
          <w:b/>
          <w:bCs/>
        </w:rPr>
        <w:t xml:space="preserve">Shyware SDK Compliance Guide</w:t>
      </w:r>
      <w:r>
        <w:t xml:space="preserve"> </w:t>
      </w:r>
      <w:r>
        <w:t xml:space="preserve">(</w:t>
      </w:r>
      <w:r>
        <w:rPr>
          <w:rStyle w:val="VerbatimChar"/>
        </w:rPr>
        <w:t xml:space="preserve">patent/mainhub/dpia/source/COMPLIANCE_GUIDE.tex</w:t>
      </w:r>
      <w:r>
        <w:t xml:space="preserve">; published at</w:t>
      </w:r>
      <w:r>
        <w:t xml:space="preserve"> </w:t>
      </w:r>
      <w:r>
        <w:rPr>
          <w:rStyle w:val="VerbatimChar"/>
        </w:rPr>
        <w:t xml:space="preserve">https://shyware.fyi/legal</w:t>
      </w:r>
      <w:r>
        <w:t xml:space="preserve">). Key operator obligations:</w:t>
      </w:r>
    </w:p>
    <w:p>
      <w:pPr>
        <w:numPr>
          <w:ilvl w:val="0"/>
          <w:numId w:val="1001"/>
        </w:numPr>
      </w:pPr>
      <w:r>
        <w:rPr>
          <w:b/>
          <w:bCs/>
        </w:rPr>
        <w:t xml:space="preserve">Art. 6 lawfulness basis</w:t>
      </w:r>
      <w:r>
        <w:t xml:space="preserve"> </w:t>
      </w:r>
      <w:r>
        <w:t xml:space="preserve">— Identify and document the legal basis for each processing purpose before production.</w:t>
      </w:r>
    </w:p>
    <w:p>
      <w:pPr>
        <w:numPr>
          <w:ilvl w:val="0"/>
          <w:numId w:val="1001"/>
        </w:numPr>
      </w:pPr>
      <w:r>
        <w:rPr>
          <w:b/>
          <w:bCs/>
        </w:rPr>
        <w:t xml:space="preserve">Art. 28 sub-processor DPAs</w:t>
      </w:r>
      <w:r>
        <w:t xml:space="preserve"> </w:t>
      </w:r>
      <w:r>
        <w:t xml:space="preserve">— Execute signed DPAs with all subprocessors listed in the generated Records of Processing (</w:t>
      </w:r>
      <w:r>
        <w:rPr>
          <w:rStyle w:val="VerbatimChar"/>
        </w:rPr>
        <w:t xml:space="preserve">node scripts/generate-rop.mjs --config shyconfig.json</w:t>
      </w:r>
      <w:r>
        <w:t xml:space="preserve">).</w:t>
      </w:r>
    </w:p>
    <w:p>
      <w:pPr>
        <w:numPr>
          <w:ilvl w:val="0"/>
          <w:numId w:val="1001"/>
        </w:numPr>
      </w:pPr>
      <w:r>
        <w:rPr>
          <w:b/>
          <w:bCs/>
        </w:rPr>
        <w:t xml:space="preserve">Art. 30 Records of Processing</w:t>
      </w:r>
      <w:r>
        <w:t xml:space="preserve"> </w:t>
      </w:r>
      <w:r>
        <w:t xml:space="preserve">— Generate from shyconfig using</w:t>
      </w:r>
      <w:r>
        <w:t xml:space="preserve"> </w:t>
      </w:r>
      <w:r>
        <w:rPr>
          <w:rStyle w:val="VerbatimChar"/>
        </w:rPr>
        <w:t xml:space="preserve">generate-rop.mjs</w:t>
      </w:r>
      <w:r>
        <w:t xml:space="preserve">; complete all</w:t>
      </w:r>
      <w:r>
        <w:t xml:space="preserve"> </w:t>
      </w:r>
      <w:r>
        <w:rPr>
          <w:rStyle w:val="VerbatimChar"/>
        </w:rPr>
        <w:t xml:space="preserve">REQUIRED_OPERATOR_INPUT</w:t>
      </w:r>
      <w:r>
        <w:t xml:space="preserve"> </w:t>
      </w:r>
      <w:r>
        <w:t xml:space="preserve">fields; maintain under Art. 30(1).</w:t>
      </w:r>
    </w:p>
    <w:p>
      <w:pPr>
        <w:numPr>
          <w:ilvl w:val="0"/>
          <w:numId w:val="1001"/>
        </w:numPr>
      </w:pPr>
      <w:r>
        <w:rPr>
          <w:b/>
          <w:bCs/>
        </w:rPr>
        <w:t xml:space="preserve">Storage limitation (Art. 5(1)(e))</w:t>
      </w:r>
      <w:r>
        <w:t xml:space="preserve"> </w:t>
      </w:r>
      <w:r>
        <w:t xml:space="preserve">— Add</w:t>
      </w:r>
      <w:r>
        <w:t xml:space="preserve"> </w:t>
      </w:r>
      <w:r>
        <w:rPr>
          <w:rStyle w:val="VerbatimChar"/>
        </w:rPr>
        <w:t xml:space="preserve">retention</w:t>
      </w:r>
      <w:r>
        <w:t xml:space="preserve"> </w:t>
      </w:r>
      <w:r>
        <w:t xml:space="preserve">block to shyconfig.json; configure and operationally enforce the</w:t>
      </w:r>
      <w:r>
        <w:t xml:space="preserve"> </w:t>
      </w:r>
      <w:r>
        <w:rPr>
          <w:rStyle w:val="VerbatimChar"/>
        </w:rPr>
        <w:t xml:space="preserve">deletion_cron</w:t>
      </w:r>
      <w:r>
        <w:t xml:space="preserve"> </w:t>
      </w:r>
      <w:r>
        <w:t xml:space="preserve">schedule.</w:t>
      </w:r>
    </w:p>
    <w:p>
      <w:pPr>
        <w:numPr>
          <w:ilvl w:val="0"/>
          <w:numId w:val="1001"/>
        </w:numPr>
      </w:pPr>
      <w:r>
        <w:rPr>
          <w:b/>
          <w:bCs/>
        </w:rPr>
        <w:t xml:space="preserve">Three-authority key independence</w:t>
      </w:r>
      <w:r>
        <w:t xml:space="preserve"> </w:t>
      </w:r>
      <w:r>
        <w:t xml:space="preserve">— Verify at scoping-identifier creation that eligibility_authority_key</w:t>
      </w:r>
      <w:r>
        <w:t xml:space="preserve"> </w:t>
      </w:r>
      <m:oMath>
        <m:r>
          <m:rPr>
            <m:sty m:val="p"/>
          </m:rPr>
          <m:t>≠</m:t>
        </m:r>
      </m:oMath>
      <w:r>
        <w:t xml:space="preserve"> </w:t>
      </w:r>
      <w:r>
        <w:t xml:space="preserve">reconciling_authority_key</w:t>
      </w:r>
      <w:r>
        <w:t xml:space="preserve"> </w:t>
      </w:r>
      <m:oMath>
        <m:r>
          <m:rPr>
            <m:sty m:val="p"/>
          </m:rPr>
          <m:t>≠</m:t>
        </m:r>
      </m:oMath>
      <w:r>
        <w:t xml:space="preserve"> </w:t>
      </w:r>
      <w:r>
        <w:t xml:space="preserve">auth_key.</w:t>
      </w:r>
    </w:p>
    <w:p>
      <w:pPr>
        <w:numPr>
          <w:ilvl w:val="0"/>
          <w:numId w:val="1001"/>
        </w:numPr>
      </w:pPr>
      <w:r>
        <w:rPr>
          <w:b/>
          <w:bCs/>
        </w:rPr>
        <w:t xml:space="preserve">Quarterly independent audit</w:t>
      </w:r>
      <w:r>
        <w:t xml:space="preserve"> </w:t>
      </w:r>
      <w:r>
        <w:t xml:space="preserve">— Engage an independent auditor to verify three-authority operational separation before production.</w:t>
      </w:r>
    </w:p>
    <w:bookmarkEnd w:id="59"/>
    <w:bookmarkStart w:id="60" w:name="residual-risk-assessment"/>
    <w:p>
      <w:pPr>
        <w:numPr>
          <w:ilvl w:val="2"/>
          <w:numId w:val="1004"/>
        </w:numPr>
        <w:pStyle w:val="Heading4"/>
      </w:pPr>
      <w:r>
        <w:t xml:space="preserve">Residual Risk Assessment</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902"/>
        <w:gridCol w:w="2995"/>
        <w:gridCol w:w="655"/>
        <w:gridCol w:w="655"/>
        <w:gridCol w:w="655"/>
        <w:gridCol w:w="1498"/>
      </w:tblGrid>
      <w:tr>
        <w:trPr>
          <w:tblHeader w:val="on"/>
        </w:trPr>
        <w:tc>
          <w:tcPr>
            <w:tcW w:type="pct" w:w="155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Risk</w:t>
            </w:r>
          </w:p>
        </w:tc>
        <w:tc>
          <w:tcPr>
            <w:tcW w:type="pct" w:w="160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Additional Measures Applied</w:t>
            </w:r>
          </w:p>
        </w:tc>
        <w:tc>
          <w:tcPr>
            <w:tcW w:type="pct" w:w="35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Residual Likelihood</w:t>
            </w:r>
          </w:p>
        </w:tc>
        <w:tc>
          <w:tcPr>
            <w:tcW w:type="pct" w:w="35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Residual Severity</w:t>
            </w:r>
          </w:p>
        </w:tc>
        <w:tc>
          <w:tcPr>
            <w:tcW w:type="pct" w:w="35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Residual Level</w:t>
            </w:r>
          </w:p>
        </w:tc>
        <w:tc>
          <w:tcPr>
            <w:tcW w:type="pct" w:w="80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Acceptable?</w:t>
            </w:r>
          </w:p>
        </w:tc>
      </w:tr>
      <w:tr>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Canonical state breach</w:t>
            </w:r>
          </w:p>
        </w:tc>
        <w:tc>
          <w:tcPr>
            <w:tcW w:type="pct" w:w="1600"/>
            <w:tcBorders>
              <w:top w:val="single" w:sz="8" w:space="0" w:color="000000"/>
              <w:left w:val="single" w:sz="8" w:space="0" w:color="000000"/>
              <w:bottom w:val="single" w:sz="8" w:space="0" w:color="000000"/>
              <w:right w:val="single" w:sz="8" w:space="0" w:color="000000"/>
            </w:tcBorders>
          </w:tcPr>
          <w:p>
            <w:pPr>
              <w:pStyle w:val="Compact"/>
              <w:jc w:val="left"/>
            </w:pPr>
            <w:r>
              <w:t xml:space="preserve">— (structural mitigation inherent)</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800"/>
            <w:tcBorders>
              <w:top w:val="single" w:sz="8" w:space="0" w:color="000000"/>
              <w:left w:val="single" w:sz="8" w:space="0" w:color="000000"/>
              <w:bottom w:val="single" w:sz="8" w:space="0" w:color="000000"/>
              <w:right w:val="single" w:sz="8" w:space="0" w:color="000000"/>
            </w:tcBorders>
          </w:tcPr>
          <w:p>
            <w:pPr>
              <w:pStyle w:val="Compact"/>
              <w:jc w:val="left"/>
            </w:pPr>
            <w:r>
              <w:t xml:space="preserve">Yes</w:t>
            </w:r>
          </w:p>
        </w:tc>
      </w:tr>
      <w:tr>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Off-chain store breach</w:t>
            </w:r>
          </w:p>
        </w:tc>
        <w:tc>
          <w:tcPr>
            <w:tcW w:type="pct" w:w="1600"/>
            <w:tcBorders>
              <w:top w:val="single" w:sz="8" w:space="0" w:color="000000"/>
              <w:left w:val="single" w:sz="8" w:space="0" w:color="000000"/>
              <w:bottom w:val="single" w:sz="8" w:space="0" w:color="000000"/>
              <w:right w:val="single" w:sz="8" w:space="0" w:color="000000"/>
            </w:tcBorders>
          </w:tcPr>
          <w:p>
            <w:pPr>
              <w:pStyle w:val="Compact"/>
              <w:jc w:val="left"/>
            </w:pPr>
            <w:r>
              <w:t xml:space="preserve">Encryption at rest (#1)</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800"/>
            <w:tcBorders>
              <w:top w:val="single" w:sz="8" w:space="0" w:color="000000"/>
              <w:left w:val="single" w:sz="8" w:space="0" w:color="000000"/>
              <w:bottom w:val="single" w:sz="8" w:space="0" w:color="000000"/>
              <w:right w:val="single" w:sz="8" w:space="0" w:color="000000"/>
            </w:tcBorders>
          </w:tcPr>
          <w:p>
            <w:pPr>
              <w:pStyle w:val="Compact"/>
              <w:jc w:val="left"/>
            </w:pPr>
            <w:r>
              <w:t xml:space="preserve">Yes</w:t>
            </w:r>
          </w:p>
        </w:tc>
      </w:tr>
      <w:tr>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Sealer key compromise</w:t>
            </w:r>
          </w:p>
        </w:tc>
        <w:tc>
          <w:tcPr>
            <w:tcW w:type="pct" w:w="1600"/>
            <w:tcBorders>
              <w:top w:val="single" w:sz="8" w:space="0" w:color="000000"/>
              <w:left w:val="single" w:sz="8" w:space="0" w:color="000000"/>
              <w:bottom w:val="single" w:sz="8" w:space="0" w:color="000000"/>
              <w:right w:val="single" w:sz="8" w:space="0" w:color="000000"/>
            </w:tcBorders>
          </w:tcPr>
          <w:p>
            <w:pPr>
              <w:pStyle w:val="Compact"/>
              <w:jc w:val="left"/>
            </w:pPr>
            <w:r>
              <w:t xml:space="preserve">Key rotation (#4)</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800"/>
            <w:tcBorders>
              <w:top w:val="single" w:sz="8" w:space="0" w:color="000000"/>
              <w:left w:val="single" w:sz="8" w:space="0" w:color="000000"/>
              <w:bottom w:val="single" w:sz="8" w:space="0" w:color="000000"/>
              <w:right w:val="single" w:sz="8" w:space="0" w:color="000000"/>
            </w:tcBorders>
          </w:tcPr>
          <w:p>
            <w:pPr>
              <w:pStyle w:val="Compact"/>
              <w:jc w:val="left"/>
            </w:pPr>
            <w:r>
              <w:t xml:space="preserve">Yes</w:t>
            </w:r>
          </w:p>
        </w:tc>
      </w:tr>
      <w:tr>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IDV provider breach</w:t>
            </w:r>
          </w:p>
        </w:tc>
        <w:tc>
          <w:tcPr>
            <w:tcW w:type="pct" w:w="1600"/>
            <w:tcBorders>
              <w:top w:val="single" w:sz="8" w:space="0" w:color="000000"/>
              <w:left w:val="single" w:sz="8" w:space="0" w:color="000000"/>
              <w:bottom w:val="single" w:sz="8" w:space="0" w:color="000000"/>
              <w:right w:val="single" w:sz="8" w:space="0" w:color="000000"/>
            </w:tcBorders>
          </w:tcPr>
          <w:p>
            <w:pPr>
              <w:pStyle w:val="Compact"/>
              <w:jc w:val="left"/>
            </w:pPr>
            <w:r>
              <w:t xml:space="preserve">—</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800"/>
            <w:tcBorders>
              <w:top w:val="single" w:sz="8" w:space="0" w:color="000000"/>
              <w:left w:val="single" w:sz="8" w:space="0" w:color="000000"/>
              <w:bottom w:val="single" w:sz="8" w:space="0" w:color="000000"/>
              <w:right w:val="single" w:sz="8" w:space="0" w:color="000000"/>
            </w:tcBorders>
          </w:tcPr>
          <w:p>
            <w:pPr>
              <w:pStyle w:val="Compact"/>
              <w:jc w:val="left"/>
            </w:pPr>
            <w:r>
              <w:t xml:space="preserve">Yes</w:t>
            </w:r>
          </w:p>
        </w:tc>
      </w:tr>
      <w:tr>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Reconciling API auth bypass</w:t>
            </w:r>
          </w:p>
        </w:tc>
        <w:tc>
          <w:tcPr>
            <w:tcW w:type="pct" w:w="1600"/>
            <w:tcBorders>
              <w:top w:val="single" w:sz="8" w:space="0" w:color="000000"/>
              <w:left w:val="single" w:sz="8" w:space="0" w:color="000000"/>
              <w:bottom w:val="single" w:sz="8" w:space="0" w:color="000000"/>
              <w:right w:val="single" w:sz="8" w:space="0" w:color="000000"/>
            </w:tcBorders>
          </w:tcPr>
          <w:p>
            <w:pPr>
              <w:pStyle w:val="Compact"/>
              <w:jc w:val="left"/>
            </w:pPr>
            <w:r>
              <w:t xml:space="preserve">IDV re-auth per request (#3)</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800"/>
            <w:tcBorders>
              <w:top w:val="single" w:sz="8" w:space="0" w:color="000000"/>
              <w:left w:val="single" w:sz="8" w:space="0" w:color="000000"/>
              <w:bottom w:val="single" w:sz="8" w:space="0" w:color="000000"/>
              <w:right w:val="single" w:sz="8" w:space="0" w:color="000000"/>
            </w:tcBorders>
          </w:tcPr>
          <w:p>
            <w:pPr>
              <w:pStyle w:val="Compact"/>
              <w:jc w:val="left"/>
            </w:pPr>
            <w:r>
              <w:t xml:space="preserve">Yes</w:t>
            </w:r>
          </w:p>
        </w:tc>
      </w:tr>
      <w:tr>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SDK supply chain</w:t>
            </w:r>
          </w:p>
        </w:tc>
        <w:tc>
          <w:tcPr>
            <w:tcW w:type="pct" w:w="1600"/>
            <w:tcBorders>
              <w:top w:val="single" w:sz="8" w:space="0" w:color="000000"/>
              <w:left w:val="single" w:sz="8" w:space="0" w:color="000000"/>
              <w:bottom w:val="single" w:sz="8" w:space="0" w:color="000000"/>
              <w:right w:val="single" w:sz="8" w:space="0" w:color="000000"/>
            </w:tcBorders>
          </w:tcPr>
          <w:p>
            <w:pPr>
              <w:pStyle w:val="Compact"/>
              <w:jc w:val="left"/>
            </w:pPr>
            <w:r>
              <w:t xml:space="preserve">Signed releases + audit (#2, #5)</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800"/>
            <w:tcBorders>
              <w:top w:val="single" w:sz="8" w:space="0" w:color="000000"/>
              <w:left w:val="single" w:sz="8" w:space="0" w:color="000000"/>
              <w:bottom w:val="single" w:sz="8" w:space="0" w:color="000000"/>
              <w:right w:val="single" w:sz="8" w:space="0" w:color="000000"/>
            </w:tcBorders>
          </w:tcPr>
          <w:p>
            <w:pPr>
              <w:pStyle w:val="Compact"/>
              <w:jc w:val="left"/>
            </w:pPr>
            <w:r>
              <w:t xml:space="preserve">Yes, conditional on pre-launch completion</w:t>
            </w:r>
          </w:p>
        </w:tc>
      </w:tr>
      <w:tr>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Protected linkage store compulsion or misuse</w:t>
            </w:r>
          </w:p>
        </w:tc>
        <w:tc>
          <w:tcPr>
            <w:tcW w:type="pct" w:w="1600"/>
            <w:tcBorders>
              <w:top w:val="single" w:sz="8" w:space="0" w:color="000000"/>
              <w:left w:val="single" w:sz="8" w:space="0" w:color="000000"/>
              <w:bottom w:val="single" w:sz="8" w:space="0" w:color="000000"/>
              <w:right w:val="single" w:sz="8" w:space="0" w:color="000000"/>
            </w:tcBorders>
          </w:tcPr>
          <w:p>
            <w:pPr>
              <w:pStyle w:val="Compact"/>
              <w:jc w:val="left"/>
            </w:pPr>
            <w:r>
              <w:t xml:space="preserve">Protected-linkage controls</w:t>
            </w:r>
            <w:r>
              <w:t xml:space="preserve"> </w:t>
            </w:r>
            <w:r>
              <w:t xml:space="preserve">(#6), including provider partitioning where enabled</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800"/>
            <w:tcBorders>
              <w:top w:val="single" w:sz="8" w:space="0" w:color="000000"/>
              <w:left w:val="single" w:sz="8" w:space="0" w:color="000000"/>
              <w:bottom w:val="single" w:sz="8" w:space="0" w:color="000000"/>
              <w:right w:val="single" w:sz="8" w:space="0" w:color="000000"/>
            </w:tcBorders>
          </w:tcPr>
          <w:p>
            <w:pPr>
              <w:pStyle w:val="Compact"/>
              <w:jc w:val="left"/>
            </w:pPr>
            <w:r>
              <w:t xml:space="preserve">Yes, for browser analytics where no single ordinary provider holds both</w:t>
            </w:r>
            <w:r>
              <w:t xml:space="preserve"> </w:t>
            </w:r>
            <w:r>
              <w:t xml:space="preserve">identity authority and linkage authority; domain DPIA required for</w:t>
            </w:r>
            <w:r>
              <w:t xml:space="preserve"> </w:t>
            </w:r>
            <w:r>
              <w:t xml:space="preserve">voting, health, finance, or legal-process-heavy deployments</w:t>
            </w:r>
          </w:p>
        </w:tc>
      </w:tr>
      <w:tr>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Endpoint/browser or network correlation</w:t>
            </w:r>
          </w:p>
        </w:tc>
        <w:tc>
          <w:tcPr>
            <w:tcW w:type="pct" w:w="1600"/>
            <w:tcBorders>
              <w:top w:val="single" w:sz="8" w:space="0" w:color="000000"/>
              <w:left w:val="single" w:sz="8" w:space="0" w:color="000000"/>
              <w:bottom w:val="single" w:sz="8" w:space="0" w:color="000000"/>
              <w:right w:val="single" w:sz="8" w:space="0" w:color="000000"/>
            </w:tcBorders>
          </w:tcPr>
          <w:p>
            <w:pPr>
              <w:pStyle w:val="Compact"/>
              <w:jc w:val="left"/>
            </w:pPr>
            <w:r>
              <w:t xml:space="preserve">Browser/endpoint controls</w:t>
            </w:r>
            <w:r>
              <w:t xml:space="preserve"> </w:t>
            </w:r>
            <w:r>
              <w:t xml:space="preserve">(#7)</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800"/>
            <w:tcBorders>
              <w:top w:val="single" w:sz="8" w:space="0" w:color="000000"/>
              <w:left w:val="single" w:sz="8" w:space="0" w:color="000000"/>
              <w:bottom w:val="single" w:sz="8" w:space="0" w:color="000000"/>
              <w:right w:val="single" w:sz="8" w:space="0" w:color="000000"/>
            </w:tcBorders>
          </w:tcPr>
          <w:p>
            <w:pPr>
              <w:pStyle w:val="Compact"/>
              <w:jc w:val="left"/>
            </w:pPr>
            <w:r>
              <w:t xml:space="preserve">Yes for moderate-risk users; not acceptable for</w:t>
            </w:r>
            <w:r>
              <w:t xml:space="preserve"> </w:t>
            </w:r>
            <w:r>
              <w:t xml:space="preserve">hostile-state or coercion-sensitive deployments without separate</w:t>
            </w:r>
            <w:r>
              <w:t xml:space="preserve"> </w:t>
            </w:r>
            <w:r>
              <w:t xml:space="preserve">transport/opsec controls</w:t>
            </w:r>
          </w:p>
        </w:tc>
      </w:tr>
      <w:tr>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Controller configuration or domain extension beyond reference scope</w:t>
            </w:r>
          </w:p>
        </w:tc>
        <w:tc>
          <w:tcPr>
            <w:tcW w:type="pct" w:w="1600"/>
            <w:tcBorders>
              <w:top w:val="single" w:sz="8" w:space="0" w:color="000000"/>
              <w:left w:val="single" w:sz="8" w:space="0" w:color="000000"/>
              <w:bottom w:val="single" w:sz="8" w:space="0" w:color="000000"/>
              <w:right w:val="single" w:sz="8" w:space="0" w:color="000000"/>
            </w:tcBorders>
          </w:tcPr>
          <w:p>
            <w:pPr>
              <w:pStyle w:val="Compact"/>
              <w:jc w:val="left"/>
            </w:pPr>
            <w:r>
              <w:t xml:space="preserve">Domain-gating review (#8)</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35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800"/>
            <w:tcBorders>
              <w:top w:val="single" w:sz="8" w:space="0" w:color="000000"/>
              <w:left w:val="single" w:sz="8" w:space="0" w:color="000000"/>
              <w:bottom w:val="single" w:sz="8" w:space="0" w:color="000000"/>
              <w:right w:val="single" w:sz="8" w:space="0" w:color="000000"/>
            </w:tcBorders>
          </w:tcPr>
          <w:p>
            <w:pPr>
              <w:pStyle w:val="Compact"/>
              <w:jc w:val="left"/>
            </w:pPr>
            <w:r>
              <w:t xml:space="preserve">Yes only if gated before</w:t>
            </w:r>
            <w:r>
              <w:t xml:space="preserve"> </w:t>
            </w:r>
            <w:r>
              <w:t xml:space="preserve">production reuse</w:t>
            </w:r>
          </w:p>
        </w:tc>
      </w:tr>
    </w:tbl>
    <w:p>
      <w:pPr>
        <w:pStyle w:val="BodyText"/>
      </w:pPr>
      <w:r>
        <w:t xml:space="preserve">All residual risks are at or below the acceptable threshold of 4 only under</w:t>
      </w:r>
      <w:r>
        <w:t xml:space="preserve"> </w:t>
      </w:r>
      <w:r>
        <w:t xml:space="preserve">the browser-analytics reference scope and only after planned pre-launch</w:t>
      </w:r>
      <w:r>
        <w:t xml:space="preserve"> </w:t>
      </w:r>
      <w:r>
        <w:t xml:space="preserve">controls are completed. The patent’s canonical-state structural guarantee</w:t>
      </w:r>
      <w:r>
        <w:t xml:space="preserve"> </w:t>
      </w:r>
      <w:r>
        <w:t xml:space="preserve">supports reduction of canonical-state breach risk; it does not by itself</w:t>
      </w:r>
      <w:r>
        <w:t xml:space="preserve"> </w:t>
      </w:r>
      <w:r>
        <w:t xml:space="preserve">make protected linkage, endpoint, network, IDV/wallet, or controller</w:t>
      </w:r>
      <w:r>
        <w:t xml:space="preserve"> </w:t>
      </w:r>
      <w:r>
        <w:t xml:space="preserve">configuration risks negligible. The software evidence for the core</w:t>
      </w:r>
      <w:r>
        <w:t xml:space="preserve"> </w:t>
      </w:r>
      <w:r>
        <w:t xml:space="preserve">kernel may be complete while those deployment controls still need to be</w:t>
      </w:r>
      <w:r>
        <w:t xml:space="preserve"> </w:t>
      </w:r>
      <w:r>
        <w:t xml:space="preserve">fixed for this domain.</w:t>
      </w:r>
    </w:p>
    <w:bookmarkEnd w:id="60"/>
    <w:bookmarkStart w:id="61" w:name="plan"/>
    <w:p>
      <w:pPr>
        <w:numPr>
          <w:ilvl w:val="2"/>
          <w:numId w:val="1004"/>
        </w:numPr>
        <w:pStyle w:val="Heading4"/>
      </w:pPr>
      <w:r>
        <w:t xml:space="preserve">Plan</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4118"/>
        <w:gridCol w:w="2434"/>
        <w:gridCol w:w="2808"/>
      </w:tblGrid>
      <w:tr>
        <w:trPr>
          <w:tblHeader w:val="on"/>
        </w:trPr>
        <w:tc>
          <w:tcPr>
            <w:tcW w:type="pct" w:w="220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Activity</w:t>
            </w:r>
          </w:p>
        </w:tc>
        <w:tc>
          <w:tcPr>
            <w:tcW w:type="pct" w:w="130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Responsible</w:t>
            </w:r>
          </w:p>
        </w:tc>
        <w:tc>
          <w:tcPr>
            <w:tcW w:type="pct" w:w="150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Timeline</w:t>
            </w:r>
          </w:p>
        </w:tc>
      </w:tr>
      <w:tr>
        <w:tc>
          <w:tcPr>
            <w:tcW w:type="pct" w:w="2200"/>
            <w:tcBorders>
              <w:top w:val="single" w:sz="8" w:space="0" w:color="000000"/>
              <w:left w:val="single" w:sz="8" w:space="0" w:color="000000"/>
              <w:bottom w:val="single" w:sz="8" w:space="0" w:color="000000"/>
              <w:right w:val="single" w:sz="8" w:space="0" w:color="000000"/>
            </w:tcBorders>
          </w:tcPr>
          <w:p>
            <w:pPr>
              <w:pStyle w:val="Compact"/>
              <w:jc w:val="left"/>
            </w:pPr>
            <w:r>
              <w:t xml:space="preserve">Execute Article 28 DPA with cloud infrastructure provider</w:t>
            </w:r>
          </w:p>
        </w:tc>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Legal /</w:t>
            </w:r>
            <w:r>
              <w:t xml:space="preserve"> </w:t>
            </w:r>
            <w:r>
              <w:t xml:space="preserve">Procurement</w:t>
            </w:r>
          </w:p>
        </w:tc>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Pre-launch</w:t>
            </w:r>
          </w:p>
        </w:tc>
      </w:tr>
      <w:tr>
        <w:tc>
          <w:tcPr>
            <w:tcW w:type="pct" w:w="2200"/>
            <w:tcBorders>
              <w:top w:val="single" w:sz="8" w:space="0" w:color="000000"/>
              <w:left w:val="single" w:sz="8" w:space="0" w:color="000000"/>
              <w:bottom w:val="single" w:sz="8" w:space="0" w:color="000000"/>
              <w:right w:val="single" w:sz="8" w:space="0" w:color="000000"/>
            </w:tcBorders>
          </w:tcPr>
          <w:p>
            <w:pPr>
              <w:pStyle w:val="Compact"/>
              <w:jc w:val="left"/>
            </w:pPr>
            <w:r>
              <w:t xml:space="preserve">Complete IDV provider Chapter V transfer assessment and SCCs</w:t>
            </w:r>
          </w:p>
        </w:tc>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Privacy</w:t>
            </w:r>
            <w:r>
              <w:t xml:space="preserve"> </w:t>
            </w:r>
            <w:r>
              <w:t xml:space="preserve">Counsel</w:t>
            </w:r>
          </w:p>
        </w:tc>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Pre-launch</w:t>
            </w:r>
          </w:p>
        </w:tc>
      </w:tr>
      <w:tr>
        <w:tc>
          <w:tcPr>
            <w:tcW w:type="pct" w:w="2200"/>
            <w:tcBorders>
              <w:top w:val="single" w:sz="8" w:space="0" w:color="000000"/>
              <w:left w:val="single" w:sz="8" w:space="0" w:color="000000"/>
              <w:bottom w:val="single" w:sz="8" w:space="0" w:color="000000"/>
              <w:right w:val="single" w:sz="8" w:space="0" w:color="000000"/>
            </w:tcBorders>
          </w:tcPr>
          <w:p>
            <w:pPr>
              <w:pStyle w:val="Compact"/>
              <w:jc w:val="left"/>
            </w:pPr>
            <w:r>
              <w:t xml:space="preserve">Implement sealer key rotation policy (quarterly, HSM custody)</w:t>
            </w:r>
          </w:p>
        </w:tc>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Product</w:t>
            </w:r>
            <w:r>
              <w:t xml:space="preserve"> </w:t>
            </w:r>
            <w:r>
              <w:t xml:space="preserve">Engineering</w:t>
            </w:r>
          </w:p>
        </w:tc>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Pre-launch</w:t>
            </w:r>
          </w:p>
        </w:tc>
      </w:tr>
      <w:tr>
        <w:tc>
          <w:tcPr>
            <w:tcW w:type="pct" w:w="2200"/>
            <w:tcBorders>
              <w:top w:val="single" w:sz="8" w:space="0" w:color="000000"/>
              <w:left w:val="single" w:sz="8" w:space="0" w:color="000000"/>
              <w:bottom w:val="single" w:sz="8" w:space="0" w:color="000000"/>
              <w:right w:val="single" w:sz="8" w:space="0" w:color="000000"/>
            </w:tcBorders>
          </w:tcPr>
          <w:p>
            <w:pPr>
              <w:pStyle w:val="Compact"/>
              <w:jc w:val="left"/>
            </w:pPr>
            <w:r>
              <w:t xml:space="preserve">Implement signed SDK release pipeline with reproducible builds</w:t>
            </w:r>
          </w:p>
        </w:tc>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Product</w:t>
            </w:r>
            <w:r>
              <w:t xml:space="preserve"> </w:t>
            </w:r>
            <w:r>
              <w:t xml:space="preserve">Engineering</w:t>
            </w:r>
          </w:p>
        </w:tc>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Pre-launch</w:t>
            </w:r>
          </w:p>
        </w:tc>
      </w:tr>
      <w:tr>
        <w:tc>
          <w:tcPr>
            <w:tcW w:type="pct" w:w="2200"/>
            <w:tcBorders>
              <w:top w:val="single" w:sz="8" w:space="0" w:color="000000"/>
              <w:left w:val="single" w:sz="8" w:space="0" w:color="000000"/>
              <w:bottom w:val="single" w:sz="8" w:space="0" w:color="000000"/>
              <w:right w:val="single" w:sz="8" w:space="0" w:color="000000"/>
            </w:tcBorders>
          </w:tcPr>
          <w:p>
            <w:pPr>
              <w:pStyle w:val="Compact"/>
              <w:jc w:val="left"/>
            </w:pPr>
            <w:r>
              <w:t xml:space="preserve">Engage external auditor for SDK rejection predicate audit</w:t>
            </w:r>
          </w:p>
        </w:tc>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Product</w:t>
            </w:r>
            <w:r>
              <w:t xml:space="preserve"> </w:t>
            </w:r>
            <w:r>
              <w:t xml:space="preserve">Engineering + DPO</w:t>
            </w:r>
          </w:p>
        </w:tc>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Within 6 months of launch; annually thereafter</w:t>
            </w:r>
          </w:p>
        </w:tc>
      </w:tr>
      <w:tr>
        <w:tc>
          <w:tcPr>
            <w:tcW w:type="pct" w:w="2200"/>
            <w:tcBorders>
              <w:top w:val="single" w:sz="8" w:space="0" w:color="000000"/>
              <w:left w:val="single" w:sz="8" w:space="0" w:color="000000"/>
              <w:bottom w:val="single" w:sz="8" w:space="0" w:color="000000"/>
              <w:right w:val="single" w:sz="8" w:space="0" w:color="000000"/>
            </w:tcBorders>
          </w:tcPr>
          <w:p>
            <w:pPr>
              <w:pStyle w:val="Compact"/>
              <w:jc w:val="left"/>
            </w:pPr>
            <w:r>
              <w:t xml:space="preserve">Off-chain store penetration test</w:t>
            </w:r>
          </w:p>
        </w:tc>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Security Team</w:t>
            </w:r>
          </w:p>
        </w:tc>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Pre-launch; annually</w:t>
            </w:r>
            <w:r>
              <w:t xml:space="preserve"> </w:t>
            </w:r>
            <w:r>
              <w:t xml:space="preserve">thereafter</w:t>
            </w:r>
          </w:p>
        </w:tc>
      </w:tr>
      <w:tr>
        <w:tc>
          <w:tcPr>
            <w:tcW w:type="pct" w:w="2200"/>
            <w:tcBorders>
              <w:top w:val="single" w:sz="8" w:space="0" w:color="000000"/>
              <w:left w:val="single" w:sz="8" w:space="0" w:color="000000"/>
              <w:bottom w:val="single" w:sz="8" w:space="0" w:color="000000"/>
              <w:right w:val="single" w:sz="8" w:space="0" w:color="000000"/>
            </w:tcBorders>
          </w:tcPr>
          <w:p>
            <w:pPr>
              <w:pStyle w:val="Compact"/>
              <w:jc w:val="left"/>
            </w:pPr>
            <w:r>
              <w:t xml:space="preserve">Trigger DPA prior consultation if residual risk reassessed above</w:t>
            </w:r>
            <w:r>
              <w:t xml:space="preserve"> </w:t>
            </w:r>
            <w:r>
              <w:t xml:space="preserve">threshold</w:t>
            </w:r>
          </w:p>
        </w:tc>
        <w:tc>
          <w:tcPr>
            <w:tcW w:type="pct" w:w="1300"/>
            <w:tcBorders>
              <w:top w:val="single" w:sz="8" w:space="0" w:color="000000"/>
              <w:left w:val="single" w:sz="8" w:space="0" w:color="000000"/>
              <w:bottom w:val="single" w:sz="8" w:space="0" w:color="000000"/>
              <w:right w:val="single" w:sz="8" w:space="0" w:color="000000"/>
            </w:tcBorders>
          </w:tcPr>
          <w:p>
            <w:pPr>
              <w:pStyle w:val="Compact"/>
              <w:jc w:val="left"/>
            </w:pPr>
            <w:r>
              <w:t xml:space="preserve">DPO + Legal</w:t>
            </w:r>
          </w:p>
        </w:tc>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As triggered</w:t>
            </w:r>
          </w:p>
        </w:tc>
      </w:tr>
    </w:tbl>
    <w:p>
      <w:r>
        <w:pict>
          <v:rect style="width:0;height:1.5pt" o:hralign="center" o:hrstd="t" o:hr="t"/>
        </w:pict>
      </w:r>
    </w:p>
    <w:bookmarkEnd w:id="61"/>
    <w:bookmarkEnd w:id="62"/>
    <w:bookmarkEnd w:id="63"/>
    <w:bookmarkStart w:id="66" w:name="involvement-of-interested-parties"/>
    <w:p>
      <w:pPr>
        <w:numPr>
          <w:ilvl w:val="0"/>
          <w:numId w:val="1004"/>
        </w:numPr>
        <w:pStyle w:val="Heading2"/>
      </w:pPr>
      <w:r>
        <w:t xml:space="preserve">INVOLVEMENT OF INTERESTED</w:t>
      </w:r>
      <w:r>
        <w:t xml:space="preserve"> </w:t>
      </w:r>
      <w:r>
        <w:t xml:space="preserve">PARTIES</w:t>
      </w:r>
    </w:p>
    <w:bookmarkStart w:id="64" w:name="dpo-advice"/>
    <w:p>
      <w:pPr>
        <w:numPr>
          <w:ilvl w:val="1"/>
          <w:numId w:val="1004"/>
        </w:numPr>
        <w:pStyle w:val="Heading3"/>
      </w:pPr>
      <w:r>
        <w:t xml:space="preserve">DPO Advice</w:t>
      </w:r>
    </w:p>
    <w:p>
      <w:pPr>
        <w:pStyle w:val="FirstParagraph"/>
      </w:pPr>
      <w:r>
        <w:t xml:space="preserve">DPO review pending.</w:t>
      </w:r>
    </w:p>
    <w:p>
      <w:pPr>
        <w:pStyle w:val="BodyText"/>
      </w:pPr>
      <w:r>
        <w:t xml:space="preserve">DPO opinion, conclusions, and recommendations: pending DPO review.</w:t>
      </w:r>
    </w:p>
    <w:p>
      <w:pPr>
        <w:pStyle w:val="BodyText"/>
      </w:pPr>
      <w:r>
        <w:t xml:space="preserve">Implementation of DPO advice: pending DPO review.</w:t>
      </w:r>
    </w:p>
    <w:bookmarkEnd w:id="64"/>
    <w:bookmarkStart w:id="65" w:name="X04dcabbc6894f0443feed72518d9960d1223ddd"/>
    <w:p>
      <w:pPr>
        <w:numPr>
          <w:ilvl w:val="1"/>
          <w:numId w:val="1004"/>
        </w:numPr>
        <w:pStyle w:val="Heading3"/>
      </w:pPr>
      <w:r>
        <w:t xml:space="preserve">Views of Data Subjects or Their</w:t>
      </w:r>
      <w:r>
        <w:t xml:space="preserve"> </w:t>
      </w:r>
      <w:r>
        <w:t xml:space="preserve">Representatives</w:t>
      </w:r>
    </w:p>
    <w:p>
      <w:pPr>
        <w:pStyle w:val="FirstParagraph"/>
      </w:pPr>
      <w:r>
        <w:t xml:space="preserve">Data subjects were not directly consulted. Rationale: the processing</w:t>
      </w:r>
      <w:r>
        <w:t xml:space="preserve"> </w:t>
      </w:r>
      <w:r>
        <w:t xml:space="preserve">does not involve vulnerable data subjects; the primary privacy risk</w:t>
      </w:r>
      <w:r>
        <w:t xml:space="preserve"> </w:t>
      </w:r>
      <w:r>
        <w:t xml:space="preserve">(canonical-layer operator profiling from ledger state) is structurally</w:t>
      </w:r>
      <w:r>
        <w:t xml:space="preserve"> </w:t>
      </w:r>
      <w:r>
        <w:t xml:space="preserve">reduced by architecture rather than managed through organizational</w:t>
      </w:r>
      <w:r>
        <w:t xml:space="preserve"> </w:t>
      </w:r>
      <w:r>
        <w:t xml:space="preserve">controls alone. Protected linkage, endpoint/browser, network, IDV/wallet,</w:t>
      </w:r>
      <w:r>
        <w:t xml:space="preserve"> </w:t>
      </w:r>
      <w:r>
        <w:t xml:space="preserve">and controller-configuration risks remain operational risk surfaces;</w:t>
      </w:r>
      <w:r>
        <w:t xml:space="preserve"> </w:t>
      </w:r>
      <w:r>
        <w:t xml:space="preserve">user-authenticated retrieval and credential-free erasure are supported</w:t>
      </w:r>
      <w:r>
        <w:t xml:space="preserve"> </w:t>
      </w:r>
      <w:r>
        <w:t xml:space="preserve">without requiring data subject input at DPIA stage.</w:t>
      </w:r>
    </w:p>
    <w:p>
      <w:pPr>
        <w:pStyle w:val="BodyText"/>
      </w:pPr>
      <w:r>
        <w:t xml:space="preserve">Consultation should be considered if processing is extended to</w:t>
      </w:r>
      <w:r>
        <w:t xml:space="preserve"> </w:t>
      </w:r>
      <w:r>
        <w:t xml:space="preserve">vulnerable groups (minors, employees, public sector data subjects) or if</w:t>
      </w:r>
      <w:r>
        <w:t xml:space="preserve"> </w:t>
      </w:r>
      <w:r>
        <w:t xml:space="preserve">processing scope materially changes.</w:t>
      </w:r>
    </w:p>
    <w:p>
      <w:r>
        <w:pict>
          <v:rect style="width:0;height:1.5pt" o:hralign="center" o:hrstd="t" o:hr="t"/>
        </w:pict>
      </w:r>
    </w:p>
    <w:bookmarkEnd w:id="65"/>
    <w:bookmarkEnd w:id="66"/>
    <w:bookmarkStart w:id="67" w:name="conclusion-and-decision"/>
    <w:p>
      <w:pPr>
        <w:numPr>
          <w:ilvl w:val="0"/>
          <w:numId w:val="1004"/>
        </w:numPr>
        <w:pStyle w:val="Heading2"/>
      </w:pPr>
      <w:r>
        <w:t xml:space="preserve">CONCLUSION AND DECISION</w:t>
      </w:r>
    </w:p>
    <w:p>
      <w:pPr>
        <w:pStyle w:val="FirstParagraph"/>
      </w:pPr>
      <w:r>
        <w:rPr>
          <w:b/>
          <w:bCs/>
        </w:rPr>
        <w:t xml:space="preserve">Decision: CONDITIONALLY APPROVED</w:t>
      </w:r>
      <w:r>
        <w:t xml:space="preserve"> </w:t>
      </w:r>
      <w:r>
        <w:t xml:space="preserve">— processing may proceed</w:t>
      </w:r>
      <w:r>
        <w:t xml:space="preserve"> </w:t>
      </w:r>
      <w:r>
        <w:t xml:space="preserve">after all conditions below are met.</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246"/>
        <w:gridCol w:w="7114"/>
      </w:tblGrid>
      <w:tr>
        <w:trPr>
          <w:tblHeader w:val="on"/>
        </w:trPr>
        <w:tc>
          <w:tcPr>
            <w:tcW w:type="pct" w:w="120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Condition</w:t>
            </w:r>
          </w:p>
        </w:tc>
        <w:tc>
          <w:tcPr>
            <w:tcW w:type="pct" w:w="3800"/>
            <w:tcBorders>
              <w:top w:val="single" w:sz="8" w:space="0" w:color="000000"/>
              <w:left w:val="single" w:sz="8" w:space="0" w:color="000000"/>
              <w:bottom w:val="single" w:sz="8" w:space="0" w:color="000000"/>
              <w:right w:val="single" w:sz="8" w:space="0" w:color="000000"/>
            </w:tcBorders>
            <w:shd w:val="clear" w:color="auto" w:fill="0F172A"/>
          </w:tcPr>
          <w:p>
            <w:pPr>
              <w:jc w:val="left"/>
            </w:pPr>
            <w:r>
              <w:rPr>
                <w:b/>
                <w:color w:val="FFFFFF"/>
              </w:rPr>
              <w:t xml:space="preserve">Description</w:t>
            </w:r>
          </w:p>
        </w:tc>
      </w:tr>
      <w:tr>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3800"/>
            <w:tcBorders>
              <w:top w:val="single" w:sz="8" w:space="0" w:color="000000"/>
              <w:left w:val="single" w:sz="8" w:space="0" w:color="000000"/>
              <w:bottom w:val="single" w:sz="8" w:space="0" w:color="000000"/>
              <w:right w:val="single" w:sz="8" w:space="0" w:color="000000"/>
            </w:tcBorders>
          </w:tcPr>
          <w:p>
            <w:pPr>
              <w:pStyle w:val="Compact"/>
              <w:jc w:val="left"/>
            </w:pPr>
            <w:r>
              <w:t xml:space="preserve">Article 28 DPA executed with cloud infrastructure provider</w:t>
            </w:r>
          </w:p>
        </w:tc>
      </w:tr>
      <w:tr>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3800"/>
            <w:tcBorders>
              <w:top w:val="single" w:sz="8" w:space="0" w:color="000000"/>
              <w:left w:val="single" w:sz="8" w:space="0" w:color="000000"/>
              <w:bottom w:val="single" w:sz="8" w:space="0" w:color="000000"/>
              <w:right w:val="single" w:sz="8" w:space="0" w:color="000000"/>
            </w:tcBorders>
          </w:tcPr>
          <w:p>
            <w:pPr>
              <w:pStyle w:val="Compact"/>
              <w:jc w:val="left"/>
            </w:pPr>
            <w:r>
              <w:t xml:space="preserve">IDV provider Chapter V transfer assessment completed; SCCs executed</w:t>
            </w:r>
            <w:r>
              <w:t xml:space="preserve"> </w:t>
            </w:r>
            <w:r>
              <w:t xml:space="preserve">where applicable</w:t>
            </w:r>
          </w:p>
        </w:tc>
      </w:tr>
      <w:tr>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3</w:t>
            </w:r>
          </w:p>
        </w:tc>
        <w:tc>
          <w:tcPr>
            <w:tcW w:type="pct" w:w="3800"/>
            <w:tcBorders>
              <w:top w:val="single" w:sz="8" w:space="0" w:color="000000"/>
              <w:left w:val="single" w:sz="8" w:space="0" w:color="000000"/>
              <w:bottom w:val="single" w:sz="8" w:space="0" w:color="000000"/>
              <w:right w:val="single" w:sz="8" w:space="0" w:color="000000"/>
            </w:tcBorders>
          </w:tcPr>
          <w:p>
            <w:pPr>
              <w:pStyle w:val="Compact"/>
              <w:jc w:val="left"/>
            </w:pPr>
            <w:r>
              <w:t xml:space="preserve">Sealer key rotation policy implemented with HSM custody</w:t>
            </w:r>
            <w:r>
              <w:t xml:space="preserve"> </w:t>
            </w:r>
            <w:r>
              <w:t xml:space="preserve">pre-launch</w:t>
            </w:r>
          </w:p>
        </w:tc>
      </w:tr>
      <w:tr>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3800"/>
            <w:tcBorders>
              <w:top w:val="single" w:sz="8" w:space="0" w:color="000000"/>
              <w:left w:val="single" w:sz="8" w:space="0" w:color="000000"/>
              <w:bottom w:val="single" w:sz="8" w:space="0" w:color="000000"/>
              <w:right w:val="single" w:sz="8" w:space="0" w:color="000000"/>
            </w:tcBorders>
          </w:tcPr>
          <w:p>
            <w:pPr>
              <w:pStyle w:val="Compact"/>
              <w:jc w:val="left"/>
            </w:pPr>
            <w:r>
              <w:t xml:space="preserve">Signed SDK release pipeline operational pre-launch</w:t>
            </w:r>
          </w:p>
        </w:tc>
      </w:tr>
      <w:tr>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5</w:t>
            </w:r>
          </w:p>
        </w:tc>
        <w:tc>
          <w:tcPr>
            <w:tcW w:type="pct" w:w="3800"/>
            <w:tcBorders>
              <w:top w:val="single" w:sz="8" w:space="0" w:color="000000"/>
              <w:left w:val="single" w:sz="8" w:space="0" w:color="000000"/>
              <w:bottom w:val="single" w:sz="8" w:space="0" w:color="000000"/>
              <w:right w:val="single" w:sz="8" w:space="0" w:color="000000"/>
            </w:tcBorders>
          </w:tcPr>
          <w:p>
            <w:pPr>
              <w:pStyle w:val="Compact"/>
              <w:jc w:val="left"/>
            </w:pPr>
            <w:r>
              <w:t xml:space="preserve">External audit of SDK rejection predicate engaged; first audit</w:t>
            </w:r>
            <w:r>
              <w:t xml:space="preserve"> </w:t>
            </w:r>
            <w:r>
              <w:t xml:space="preserve">within 6 months of launch</w:t>
            </w:r>
          </w:p>
        </w:tc>
      </w:tr>
      <w:tr>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6</w:t>
            </w:r>
          </w:p>
        </w:tc>
        <w:tc>
          <w:tcPr>
            <w:tcW w:type="pct" w:w="3800"/>
            <w:tcBorders>
              <w:top w:val="single" w:sz="8" w:space="0" w:color="000000"/>
              <w:left w:val="single" w:sz="8" w:space="0" w:color="000000"/>
              <w:bottom w:val="single" w:sz="8" w:space="0" w:color="000000"/>
              <w:right w:val="single" w:sz="8" w:space="0" w:color="000000"/>
            </w:tcBorders>
          </w:tcPr>
          <w:p>
            <w:pPr>
              <w:pStyle w:val="Compact"/>
              <w:jc w:val="left"/>
            </w:pPr>
            <w:r>
              <w:t xml:space="preserve">Protected-linkage controls and provider partitioning implemented</w:t>
            </w:r>
            <w:r>
              <w:t xml:space="preserve"> </w:t>
            </w:r>
            <w:r>
              <w:t xml:space="preserve">before any hosted reconcile or recovery workflow is offered</w:t>
            </w:r>
          </w:p>
        </w:tc>
      </w:tr>
      <w:tr>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7</w:t>
            </w:r>
          </w:p>
        </w:tc>
        <w:tc>
          <w:tcPr>
            <w:tcW w:type="pct" w:w="3800"/>
            <w:tcBorders>
              <w:top w:val="single" w:sz="8" w:space="0" w:color="000000"/>
              <w:left w:val="single" w:sz="8" w:space="0" w:color="000000"/>
              <w:bottom w:val="single" w:sz="8" w:space="0" w:color="000000"/>
              <w:right w:val="single" w:sz="8" w:space="0" w:color="000000"/>
            </w:tcBorders>
          </w:tcPr>
          <w:p>
            <w:pPr>
              <w:pStyle w:val="Compact"/>
              <w:jc w:val="left"/>
            </w:pPr>
            <w:r>
              <w:t xml:space="preserve">Browser/endpoint correlation controls documented, including the</w:t>
            </w:r>
            <w:r>
              <w:t xml:space="preserve"> </w:t>
            </w:r>
            <w:r>
              <w:t xml:space="preserve">boundary that shybrowser is not a global-adversary transport guarantee</w:t>
            </w:r>
          </w:p>
        </w:tc>
      </w:tr>
      <w:tr>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8</w:t>
            </w:r>
          </w:p>
        </w:tc>
        <w:tc>
          <w:tcPr>
            <w:tcW w:type="pct" w:w="3800"/>
            <w:tcBorders>
              <w:top w:val="single" w:sz="8" w:space="0" w:color="000000"/>
              <w:left w:val="single" w:sz="8" w:space="0" w:color="000000"/>
              <w:bottom w:val="single" w:sz="8" w:space="0" w:color="000000"/>
              <w:right w:val="single" w:sz="8" w:space="0" w:color="000000"/>
            </w:tcBorders>
          </w:tcPr>
          <w:p>
            <w:pPr>
              <w:pStyle w:val="Compact"/>
              <w:jc w:val="left"/>
            </w:pPr>
            <w:r>
              <w:t xml:space="preserve">Domain-gating review completed before using this browser analytics DPIA</w:t>
            </w:r>
            <w:r>
              <w:t xml:space="preserve"> </w:t>
            </w:r>
            <w:r>
              <w:t xml:space="preserve">as support for any non-browser analytics deployment</w:t>
            </w:r>
          </w:p>
        </w:tc>
      </w:tr>
    </w:tbl>
    <w:p>
      <w:pPr>
        <w:pStyle w:val="BodyText"/>
      </w:pPr>
      <w:r>
        <w:rPr>
          <w:b/>
          <w:bCs/>
        </w:rPr>
        <w:t xml:space="preserve">Justification:</w:t>
      </w:r>
      <w:r>
        <w:t xml:space="preserve"> </w:t>
      </w:r>
      <w:r>
        <w:t xml:space="preserve">For the browser-analytics reference scope, and</w:t>
      </w:r>
      <w:r>
        <w:t xml:space="preserve"> </w:t>
      </w:r>
      <w:r>
        <w:t xml:space="preserve">conditional on the listed pre-launch controls, residual risks are at or</w:t>
      </w:r>
      <w:r>
        <w:t xml:space="preserve"> </w:t>
      </w:r>
      <w:r>
        <w:t xml:space="preserve">below the acceptable threshold of 4. The Shyware architecture supports:</w:t>
      </w:r>
      <w:r>
        <w:t xml:space="preserve"> </w:t>
      </w:r>
      <w:r>
        <w:t xml:space="preserve">(i) the Austrian DSB re-identification standard for the canonical layer</w:t>
      </w:r>
      <w:r>
        <w:t xml:space="preserve"> </w:t>
      </w:r>
      <w:r>
        <w:t xml:space="preserve">— canonical state does not contain the identity-behavior join; (ii)</w:t>
      </w:r>
      <w:r>
        <w:t xml:space="preserve"> </w:t>
      </w:r>
      <w:r>
        <w:t xml:space="preserve">the German SDM unlinkability protection goal for canonical state —</w:t>
      </w:r>
      <w:r>
        <w:t xml:space="preserve"> </w:t>
      </w:r>
      <w:r>
        <w:t xml:space="preserve">structural unlinkability is enforced by the write-side state machine,</w:t>
      </w:r>
      <w:r>
        <w:t xml:space="preserve"> </w:t>
      </w:r>
      <w:r>
        <w:t xml:space="preserve">not by policy alone; and (iii) Article 25 GDPR design support at the</w:t>
      </w:r>
      <w:r>
        <w:t xml:space="preserve"> </w:t>
      </w:r>
      <w:r>
        <w:t xml:space="preserve">canonical state-machine layer. This conclusion does not extend the</w:t>
      </w:r>
      <w:r>
        <w:t xml:space="preserve"> </w:t>
      </w:r>
      <w:r>
        <w:t xml:space="preserve">patent’s canonical-state guarantee to the protected linkage store,</w:t>
      </w:r>
      <w:r>
        <w:t xml:space="preserve"> </w:t>
      </w:r>
      <w:r>
        <w:t xml:space="preserve">reconciling interface, endpoint/browser state, IDV or wallet provider,</w:t>
      </w:r>
      <w:r>
        <w:t xml:space="preserve"> </w:t>
      </w:r>
      <w:r>
        <w:t xml:space="preserve">network transport, or controller configuration. No DPA prior</w:t>
      </w:r>
      <w:r>
        <w:t xml:space="preserve"> </w:t>
      </w:r>
      <w:r>
        <w:t xml:space="preserve">consultation is required under Article 36 GDPR for the reference</w:t>
      </w:r>
      <w:r>
        <w:t xml:space="preserve"> </w:t>
      </w:r>
      <w:r>
        <w:t xml:space="preserve">browser-analytics deployment while residual risks remain below the</w:t>
      </w:r>
      <w:r>
        <w:t xml:space="preserve"> </w:t>
      </w:r>
      <w:r>
        <w:t xml:space="preserve">threshold. See Annex A for deployment-specific requirements; Annex B for ePrivacy consent obligations; Annex C for jurisdiction-specific enforcement posture; and Annex D for the Art. 9 inference risk assessment framework.</w:t>
      </w:r>
    </w:p>
    <w:p>
      <w:r>
        <w:pict>
          <v:rect style="width:0;height:1.5pt" o:hralign="center" o:hrstd="t" o:hr="t"/>
        </w:pict>
      </w:r>
    </w:p>
    <w:bookmarkEnd w:id="67"/>
    <w:bookmarkStart w:id="72" w:name="annexes-browser"/>
    <w:p>
      <w:pPr>
        <w:pStyle w:val="Heading1"/>
      </w:pPr>
      <w:r>
        <w:t xml:space="preserve">Regulatory and Deployment Context Annexes</w:t>
      </w:r>
    </w:p>
    <w:bookmarkStart w:id="68" w:name="annex-a-browser"/>
    <w:p>
      <w:pPr>
        <w:numPr>
          <w:ilvl w:val="0"/>
          <w:numId w:val="1004"/>
        </w:numPr>
        <w:pStyle w:val="Heading2"/>
      </w:pPr>
      <w:r>
        <w:t xml:space="preserve">Annex A — Deployment Context Variants</w:t>
      </w:r>
    </w:p>
    <w:p>
      <w:pPr>
        <w:pStyle w:val="FirstParagraph"/>
      </w:pPr>
      <w:r>
        <w:t xml:space="preserve">The baseline DPIA conclusion applies to general-purpose behavioural analytics (e-commerce, SaaS, media). The following contexts require additional controls before the conclusion holds.</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404"/>
        <w:gridCol w:w="2902"/>
        <w:gridCol w:w="2153"/>
        <w:gridCol w:w="2902"/>
      </w:tblGrid>
      <w:tr>
        <w:trPr>
          <w:tblHeader w:val="on"/>
        </w:trPr>
        <w:tc>
          <w:tcPr>
            <w:tcW w:type="pct" w:w="7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Deployment context</w:t>
            </w:r>
          </w:p>
        </w:tc>
        <w:tc>
          <w:tcPr>
            <w:tcW w:type="pct" w:w="15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Elevated risk</w:t>
            </w:r>
          </w:p>
        </w:tc>
        <w:tc>
          <w:tcPr>
            <w:tcW w:type="pct" w:w="11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Regulatory trigger</w:t>
            </w:r>
          </w:p>
        </w:tc>
        <w:tc>
          <w:tcPr>
            <w:tcW w:type="pct" w:w="15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Additional requirement</w:t>
            </w:r>
          </w:p>
        </w:tc>
      </w:tr>
      <w:tr>
        <w:tc>
          <w:tcPr>
            <w:tcW w:type="pct" w:w="750"/>
            <w:tcBorders>
              <w:top w:val="single" w:sz="8" w:space="0" w:color="000000"/>
              <w:left w:val="single" w:sz="8" w:space="0" w:color="000000"/>
              <w:bottom w:val="single" w:sz="8" w:space="0" w:color="000000"/>
              <w:right w:val="single" w:sz="8" w:space="0" w:color="000000"/>
            </w:tcBorders>
          </w:tcPr>
          <w:p>
            <w:pPr>
              <w:pStyle w:val="Compact"/>
              <w:jc w:val="left"/>
            </w:pPr>
            <w:r>
              <w:rPr>
                <w:b/>
                <w:bCs/>
              </w:rPr>
              <w:t xml:space="preserve">Health or medical website</w:t>
            </w:r>
          </w:p>
        </w:tc>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Behavioural patterns reveal health conditions or medication use even without explicit health data in payload — Art. 9(1) inferred special category</w:t>
            </w:r>
          </w:p>
        </w:tc>
        <w:tc>
          <w:tcPr>
            <w:tcW w:type="pct" w:w="1150"/>
            <w:tcBorders>
              <w:top w:val="single" w:sz="8" w:space="0" w:color="000000"/>
              <w:left w:val="single" w:sz="8" w:space="0" w:color="000000"/>
              <w:bottom w:val="single" w:sz="8" w:space="0" w:color="000000"/>
              <w:right w:val="single" w:sz="8" w:space="0" w:color="000000"/>
            </w:tcBorders>
          </w:tcPr>
          <w:p>
            <w:pPr>
              <w:pStyle w:val="Compact"/>
              <w:jc w:val="left"/>
            </w:pPr>
            <w:r>
              <w:t xml:space="preserve">Art. 9(1) GDPR; HIPAA §164.514(b) (US)</w:t>
            </w:r>
          </w:p>
        </w:tc>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Explicit Art. 9(2)(a) consent per session; DPO consultation; separate Art. 9 DPIA section; HIPAA BAA if US PHI involved</w:t>
            </w:r>
          </w:p>
        </w:tc>
      </w:tr>
      <w:tr>
        <w:tc>
          <w:tcPr>
            <w:tcW w:type="pct" w:w="750"/>
            <w:tcBorders>
              <w:top w:val="single" w:sz="8" w:space="0" w:color="000000"/>
              <w:left w:val="single" w:sz="8" w:space="0" w:color="000000"/>
              <w:bottom w:val="single" w:sz="8" w:space="0" w:color="000000"/>
              <w:right w:val="single" w:sz="8" w:space="0" w:color="000000"/>
            </w:tcBorders>
          </w:tcPr>
          <w:p>
            <w:pPr>
              <w:pStyle w:val="Compact"/>
              <w:jc w:val="left"/>
            </w:pPr>
            <w:r>
              <w:rPr>
                <w:b/>
                <w:bCs/>
              </w:rPr>
              <w:t xml:space="preserve">Political or civic content</w:t>
            </w:r>
          </w:p>
        </w:tc>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Browsing patterns reveal political opinions or voting behaviour — Art. 9(1) inferred special category</w:t>
            </w:r>
          </w:p>
        </w:tc>
        <w:tc>
          <w:tcPr>
            <w:tcW w:type="pct" w:w="1150"/>
            <w:tcBorders>
              <w:top w:val="single" w:sz="8" w:space="0" w:color="000000"/>
              <w:left w:val="single" w:sz="8" w:space="0" w:color="000000"/>
              <w:bottom w:val="single" w:sz="8" w:space="0" w:color="000000"/>
              <w:right w:val="single" w:sz="8" w:space="0" w:color="000000"/>
            </w:tcBorders>
          </w:tcPr>
          <w:p>
            <w:pPr>
              <w:pStyle w:val="Compact"/>
              <w:jc w:val="left"/>
            </w:pPr>
            <w:r>
              <w:t xml:space="preserve">Art. 9(1) GDPR; election data laws per jurisdiction</w:t>
            </w:r>
          </w:p>
        </w:tc>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Explicit Art. 9(2)(a) consent; do not combine with voter-roll data; controller legal-basis review</w:t>
            </w:r>
          </w:p>
        </w:tc>
      </w:tr>
      <w:tr>
        <w:tc>
          <w:tcPr>
            <w:tcW w:type="pct" w:w="750"/>
            <w:tcBorders>
              <w:top w:val="single" w:sz="8" w:space="0" w:color="000000"/>
              <w:left w:val="single" w:sz="8" w:space="0" w:color="000000"/>
              <w:bottom w:val="single" w:sz="8" w:space="0" w:color="000000"/>
              <w:right w:val="single" w:sz="8" w:space="0" w:color="000000"/>
            </w:tcBorders>
          </w:tcPr>
          <w:p>
            <w:pPr>
              <w:pStyle w:val="Compact"/>
              <w:jc w:val="left"/>
            </w:pPr>
            <w:r>
              <w:rPr>
                <w:b/>
                <w:bCs/>
              </w:rPr>
              <w:t xml:space="preserve">Workplace monitoring</w:t>
            </w:r>
          </w:p>
        </w:tc>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Behaviour data = employee surveillance; Art. 6(1)(f) insufficient under many member-state laws</w:t>
            </w:r>
          </w:p>
        </w:tc>
        <w:tc>
          <w:tcPr>
            <w:tcW w:type="pct" w:w="1150"/>
            <w:tcBorders>
              <w:top w:val="single" w:sz="8" w:space="0" w:color="000000"/>
              <w:left w:val="single" w:sz="8" w:space="0" w:color="000000"/>
              <w:bottom w:val="single" w:sz="8" w:space="0" w:color="000000"/>
              <w:right w:val="single" w:sz="8" w:space="0" w:color="000000"/>
            </w:tcBorders>
          </w:tcPr>
          <w:p>
            <w:pPr>
              <w:pStyle w:val="Compact"/>
              <w:jc w:val="left"/>
            </w:pPr>
            <w:r>
              <w:t xml:space="preserve">German BDSG §26; CJEU  </w:t>
            </w:r>
            <w:r>
              <w:rPr>
                <w:i/>
                <w:iCs/>
              </w:rPr>
              <w:t xml:space="preserve">López Ribalda</w:t>
            </w:r>
            <w:r>
              <w:t xml:space="preserve">; UK ICO Employment Guidance</w:t>
            </w:r>
          </w:p>
        </w:tc>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Works council consultation (DE/FR/AT/NL); explicit notice before monitoring; proportionality review; legitimate interest balancing test documented</w:t>
            </w:r>
          </w:p>
        </w:tc>
      </w:tr>
      <w:tr>
        <w:tc>
          <w:tcPr>
            <w:tcW w:type="pct" w:w="750"/>
            <w:tcBorders>
              <w:top w:val="single" w:sz="8" w:space="0" w:color="000000"/>
              <w:left w:val="single" w:sz="8" w:space="0" w:color="000000"/>
              <w:bottom w:val="single" w:sz="8" w:space="0" w:color="000000"/>
              <w:right w:val="single" w:sz="8" w:space="0" w:color="000000"/>
            </w:tcBorders>
          </w:tcPr>
          <w:p>
            <w:pPr>
              <w:pStyle w:val="Compact"/>
              <w:jc w:val="left"/>
            </w:pPr>
            <w:r>
              <w:rPr>
                <w:b/>
                <w:bCs/>
              </w:rPr>
              <w:t xml:space="preserve">Financial services</w:t>
            </w:r>
          </w:p>
        </w:tc>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Transaction-page behaviour can reveal financial health, credit-seeking behaviour (sensitive inferential risk)</w:t>
            </w:r>
          </w:p>
        </w:tc>
        <w:tc>
          <w:tcPr>
            <w:tcW w:type="pct" w:w="1150"/>
            <w:tcBorders>
              <w:top w:val="single" w:sz="8" w:space="0" w:color="000000"/>
              <w:left w:val="single" w:sz="8" w:space="0" w:color="000000"/>
              <w:bottom w:val="single" w:sz="8" w:space="0" w:color="000000"/>
              <w:right w:val="single" w:sz="8" w:space="0" w:color="000000"/>
            </w:tcBorders>
          </w:tcPr>
          <w:p>
            <w:pPr>
              <w:pStyle w:val="Compact"/>
              <w:jc w:val="left"/>
            </w:pPr>
            <w:r>
              <w:t xml:space="preserve">EU AMLD6; CCPA 1798.140(v)</w:t>
            </w:r>
            <w:r>
              <w:t xml:space="preserve"> </w:t>
            </w:r>
            <w:r>
              <w:t xml:space="preserve">“sensitive”</w:t>
            </w:r>
            <w:r>
              <w:t xml:space="preserve"> </w:t>
            </w:r>
            <w:r>
              <w:t xml:space="preserve">data if financial</w:t>
            </w:r>
          </w:p>
        </w:tc>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Legal basis review; Art. 13 notice update; consider consent where LIA insufficient</w:t>
            </w:r>
          </w:p>
        </w:tc>
      </w:tr>
      <w:tr>
        <w:tc>
          <w:tcPr>
            <w:tcW w:type="pct" w:w="750"/>
            <w:tcBorders>
              <w:top w:val="single" w:sz="8" w:space="0" w:color="000000"/>
              <w:left w:val="single" w:sz="8" w:space="0" w:color="000000"/>
              <w:bottom w:val="single" w:sz="8" w:space="0" w:color="000000"/>
              <w:right w:val="single" w:sz="8" w:space="0" w:color="000000"/>
            </w:tcBorders>
          </w:tcPr>
          <w:p>
            <w:pPr>
              <w:pStyle w:val="Compact"/>
              <w:jc w:val="left"/>
            </w:pPr>
            <w:r>
              <w:rPr>
                <w:b/>
                <w:bCs/>
              </w:rPr>
              <w:t xml:space="preserve">Children’s services</w:t>
            </w:r>
          </w:p>
        </w:tc>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Behavioural profiling of minors prohibited or consent-constrained</w:t>
            </w:r>
          </w:p>
        </w:tc>
        <w:tc>
          <w:tcPr>
            <w:tcW w:type="pct" w:w="1150"/>
            <w:tcBorders>
              <w:top w:val="single" w:sz="8" w:space="0" w:color="000000"/>
              <w:left w:val="single" w:sz="8" w:space="0" w:color="000000"/>
              <w:bottom w:val="single" w:sz="8" w:space="0" w:color="000000"/>
              <w:right w:val="single" w:sz="8" w:space="0" w:color="000000"/>
            </w:tcBorders>
          </w:tcPr>
          <w:p>
            <w:pPr>
              <w:pStyle w:val="Compact"/>
              <w:jc w:val="left"/>
            </w:pPr>
            <w:r>
              <w:t xml:space="preserve">Art. 8 GDPR; COPPA (US, under 13); AADC (UK)</w:t>
            </w:r>
          </w:p>
        </w:tc>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Age-verification gate before analytics activation; no behavioural profiling without parental consent</w:t>
            </w:r>
          </w:p>
        </w:tc>
      </w:tr>
    </w:tbl>
    <w:bookmarkEnd w:id="68"/>
    <w:bookmarkStart w:id="69" w:name="annex-b-browser"/>
    <w:p>
      <w:pPr>
        <w:numPr>
          <w:ilvl w:val="0"/>
          <w:numId w:val="1004"/>
        </w:numPr>
        <w:pStyle w:val="Heading2"/>
      </w:pPr>
      <w:r>
        <w:t xml:space="preserve">Annex B — ePrivacy and Cookie Consent Requirements</w:t>
      </w:r>
    </w:p>
    <w:p>
      <w:pPr>
        <w:pStyle w:val="FirstParagraph"/>
      </w:pPr>
      <w:r>
        <w:t xml:space="preserve">The shybrowser canonical-state architecture does not substitute for ePrivacy Directive Art. 5(3) consent obligations. The structural non-linkability property operates at the canonical ledger layer; the network request and session-initiation layer remain subject to cookie/tracker consent rules.</w:t>
      </w:r>
    </w:p>
    <w:p>
      <w:pPr>
        <w:numPr>
          <w:ilvl w:val="0"/>
          <w:numId w:val="1002"/>
        </w:numPr>
      </w:pPr>
      <w:r>
        <w:rPr>
          <w:b/>
          <w:bCs/>
        </w:rPr>
        <w:t xml:space="preserve">EU / EEA:</w:t>
      </w:r>
      <w:r>
        <w:t xml:space="preserve"> </w:t>
      </w:r>
      <w:r>
        <w:t xml:space="preserve">ePrivacy Directive Art. 5(3) requires prior informed consent before storing or accessing information on a user’s terminal equipment. Structural non-linkability does not exempt the operator from this consent requirement for the initial tracking event. CNIL, DSK, and Datatilsynet have each found that Google Analytics transfers personal data to the US in violation of GDPR even where IP anonymisation is configured; shybrowser’s EU-only infrastructure removes the transfer risk but consent for the tracking event itself remains required.</w:t>
      </w:r>
    </w:p>
    <w:p>
      <w:pPr>
        <w:numPr>
          <w:ilvl w:val="0"/>
          <w:numId w:val="1002"/>
        </w:numPr>
      </w:pPr>
      <w:r>
        <w:rPr>
          <w:b/>
          <w:bCs/>
        </w:rPr>
        <w:t xml:space="preserve">UK:</w:t>
      </w:r>
      <w:r>
        <w:t xml:space="preserve"> </w:t>
      </w:r>
      <w:r>
        <w:t xml:space="preserve">PECR Reg. 6 (same consent requirement). UK ICO enforcement is active on analytics tracking.</w:t>
      </w:r>
    </w:p>
    <w:p>
      <w:pPr>
        <w:numPr>
          <w:ilvl w:val="0"/>
          <w:numId w:val="1002"/>
        </w:numPr>
      </w:pPr>
      <w:r>
        <w:rPr>
          <w:b/>
          <w:bCs/>
        </w:rPr>
        <w:t xml:space="preserve">US (California):</w:t>
      </w:r>
      <w:r>
        <w:t xml:space="preserve"> </w:t>
      </w:r>
      <w:r>
        <w:t xml:space="preserve">CCPA/CPRA</w:t>
      </w:r>
      <w:r>
        <w:t xml:space="preserve"> </w:t>
      </w:r>
      <w:r>
        <w:t xml:space="preserve">“sharing”</w:t>
      </w:r>
      <w:r>
        <w:t xml:space="preserve"> </w:t>
      </w:r>
      <w:r>
        <w:t xml:space="preserve">for cross-context behavioural advertising requires opt-out right even where no sale occurs. If shybrowser is deployed as part of an advertising context, a</w:t>
      </w:r>
      <w:r>
        <w:t xml:space="preserve"> </w:t>
      </w:r>
      <w:r>
        <w:t xml:space="preserve">“Do Not Sell or Share”</w:t>
      </w:r>
      <w:r>
        <w:t xml:space="preserve"> </w:t>
      </w:r>
      <w:r>
        <w:t xml:space="preserve">mechanism is required regardless of canonical-state non-linkability.</w:t>
      </w:r>
    </w:p>
    <w:p>
      <w:pPr>
        <w:numPr>
          <w:ilvl w:val="0"/>
          <w:numId w:val="1002"/>
        </w:numPr>
      </w:pPr>
      <w:r>
        <w:rPr>
          <w:b/>
          <w:bCs/>
        </w:rPr>
        <w:t xml:space="preserve">Consent exemption:</w:t>
      </w:r>
      <w:r>
        <w:t xml:space="preserve"> </w:t>
      </w:r>
      <w:r>
        <w:t xml:space="preserve">Member states permit analytics cookies/trackers without consent where: (a) the data is not used for any purpose other than audience measurement; (b) the data is not transferred or shared; and (c) the data does not leave the operator’s control. shybrowser’s structural non-linkability and operator-only reconcile interface support this exemption analysis, but the operator must document reliance on the exemption and confirm it applies in each deployment jurisdiction.</w:t>
      </w:r>
    </w:p>
    <w:bookmarkEnd w:id="69"/>
    <w:bookmarkStart w:id="70" w:name="annex-c-browser"/>
    <w:p>
      <w:pPr>
        <w:numPr>
          <w:ilvl w:val="0"/>
          <w:numId w:val="1004"/>
        </w:numPr>
        <w:pStyle w:val="Heading2"/>
      </w:pPr>
      <w:r>
        <w:t xml:space="preserve">Annex C — Jurisdiction-Specific Enforcement Posture</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217"/>
        <w:gridCol w:w="2995"/>
        <w:gridCol w:w="2902"/>
        <w:gridCol w:w="2246"/>
      </w:tblGrid>
      <w:tr>
        <w:trPr>
          <w:tblHeader w:val="on"/>
        </w:trPr>
        <w:tc>
          <w:tcPr>
            <w:tcW w:type="pct" w:w="6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Jurisdiction</w:t>
            </w:r>
          </w:p>
        </w:tc>
        <w:tc>
          <w:tcPr>
            <w:tcW w:type="pct" w:w="16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Enforcement context</w:t>
            </w:r>
          </w:p>
        </w:tc>
        <w:tc>
          <w:tcPr>
            <w:tcW w:type="pct" w:w="15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Shyware structural property</w:t>
            </w:r>
          </w:p>
        </w:tc>
        <w:tc>
          <w:tcPr>
            <w:tcW w:type="pct" w:w="12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Remaining operator obligation</w:t>
            </w:r>
          </w:p>
        </w:tc>
      </w:tr>
      <w:tr>
        <w:tc>
          <w:tcPr>
            <w:tcW w:type="pct" w:w="650"/>
            <w:tcBorders>
              <w:top w:val="single" w:sz="8" w:space="0" w:color="000000"/>
              <w:left w:val="single" w:sz="8" w:space="0" w:color="000000"/>
              <w:bottom w:val="single" w:sz="8" w:space="0" w:color="000000"/>
              <w:right w:val="single" w:sz="8" w:space="0" w:color="000000"/>
            </w:tcBorders>
          </w:tcPr>
          <w:p>
            <w:pPr>
              <w:pStyle w:val="Compact"/>
              <w:jc w:val="left"/>
            </w:pPr>
            <w:r>
              <w:rPr>
                <w:b/>
                <w:bCs/>
              </w:rPr>
              <w:t xml:space="preserve">France (CNIL)</w:t>
            </w:r>
          </w:p>
        </w:tc>
        <w:tc>
          <w:tcPr>
            <w:tcW w:type="pct" w:w="1600"/>
            <w:tcBorders>
              <w:top w:val="single" w:sz="8" w:space="0" w:color="000000"/>
              <w:left w:val="single" w:sz="8" w:space="0" w:color="000000"/>
              <w:bottom w:val="single" w:sz="8" w:space="0" w:color="000000"/>
              <w:right w:val="single" w:sz="8" w:space="0" w:color="000000"/>
            </w:tcBorders>
          </w:tcPr>
          <w:p>
            <w:pPr>
              <w:pStyle w:val="Compact"/>
              <w:jc w:val="left"/>
            </w:pPr>
            <w:r>
              <w:t xml:space="preserve">CNIL ordered cessation of Google Analytics (Jan 2022, Mar 2022); grounds: US data transfer without adequate safeguards; IP anonymisation insufficient</w:t>
            </w:r>
          </w:p>
        </w:tc>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shybrowser with EU-only infrastructure eliminates the transfer risk CNIL identified; no sessionId–identity–activity join in canonical state</w:t>
            </w:r>
          </w:p>
        </w:tc>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ePrivacy consent for tracking event; privacy notice disclosure; DPA with EU processor</w:t>
            </w:r>
          </w:p>
        </w:tc>
      </w:tr>
      <w:tr>
        <w:tc>
          <w:tcPr>
            <w:tcW w:type="pct" w:w="650"/>
            <w:tcBorders>
              <w:top w:val="single" w:sz="8" w:space="0" w:color="000000"/>
              <w:left w:val="single" w:sz="8" w:space="0" w:color="000000"/>
              <w:bottom w:val="single" w:sz="8" w:space="0" w:color="000000"/>
              <w:right w:val="single" w:sz="8" w:space="0" w:color="000000"/>
            </w:tcBorders>
          </w:tcPr>
          <w:p>
            <w:pPr>
              <w:pStyle w:val="Compact"/>
              <w:jc w:val="left"/>
            </w:pPr>
            <w:r>
              <w:rPr>
                <w:b/>
                <w:bCs/>
              </w:rPr>
              <w:t xml:space="preserve">Austria (DSB)</w:t>
            </w:r>
          </w:p>
        </w:tc>
        <w:tc>
          <w:tcPr>
            <w:tcW w:type="pct" w:w="1600"/>
            <w:tcBorders>
              <w:top w:val="single" w:sz="8" w:space="0" w:color="000000"/>
              <w:left w:val="single" w:sz="8" w:space="0" w:color="000000"/>
              <w:bottom w:val="single" w:sz="8" w:space="0" w:color="000000"/>
              <w:right w:val="single" w:sz="8" w:space="0" w:color="000000"/>
            </w:tcBorders>
          </w:tcPr>
          <w:p>
            <w:pPr>
              <w:pStyle w:val="Compact"/>
              <w:jc w:val="left"/>
            </w:pPr>
            <w:r>
              <w:t xml:space="preserve">DSB: Google Analytics unlawful (Jan 2022); confirmed canonical-state transfer as the violation</w:t>
            </w:r>
          </w:p>
        </w:tc>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Same as France</w:t>
            </w:r>
          </w:p>
        </w:tc>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Same as France</w:t>
            </w:r>
          </w:p>
        </w:tc>
      </w:tr>
      <w:tr>
        <w:tc>
          <w:tcPr>
            <w:tcW w:type="pct" w:w="650"/>
            <w:tcBorders>
              <w:top w:val="single" w:sz="8" w:space="0" w:color="000000"/>
              <w:left w:val="single" w:sz="8" w:space="0" w:color="000000"/>
              <w:bottom w:val="single" w:sz="8" w:space="0" w:color="000000"/>
              <w:right w:val="single" w:sz="8" w:space="0" w:color="000000"/>
            </w:tcBorders>
          </w:tcPr>
          <w:p>
            <w:pPr>
              <w:pStyle w:val="Compact"/>
              <w:jc w:val="left"/>
            </w:pPr>
            <w:r>
              <w:rPr>
                <w:b/>
                <w:bCs/>
              </w:rPr>
              <w:t xml:space="preserve">Norway (Datatilsynet)</w:t>
            </w:r>
          </w:p>
        </w:tc>
        <w:tc>
          <w:tcPr>
            <w:tcW w:type="pct" w:w="1600"/>
            <w:tcBorders>
              <w:top w:val="single" w:sz="8" w:space="0" w:color="000000"/>
              <w:left w:val="single" w:sz="8" w:space="0" w:color="000000"/>
              <w:bottom w:val="single" w:sz="8" w:space="0" w:color="000000"/>
              <w:right w:val="single" w:sz="8" w:space="0" w:color="000000"/>
            </w:tcBorders>
          </w:tcPr>
          <w:p>
            <w:pPr>
              <w:pStyle w:val="Compact"/>
              <w:jc w:val="left"/>
            </w:pPr>
            <w:r>
              <w:t xml:space="preserve">Final decision Jan 2025; same grounds as France/Austria</w:t>
            </w:r>
          </w:p>
        </w:tc>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Same as France</w:t>
            </w:r>
          </w:p>
        </w:tc>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Same as France</w:t>
            </w:r>
          </w:p>
        </w:tc>
      </w:tr>
      <w:tr>
        <w:tc>
          <w:tcPr>
            <w:tcW w:type="pct" w:w="650"/>
            <w:tcBorders>
              <w:top w:val="single" w:sz="8" w:space="0" w:color="000000"/>
              <w:left w:val="single" w:sz="8" w:space="0" w:color="000000"/>
              <w:bottom w:val="single" w:sz="8" w:space="0" w:color="000000"/>
              <w:right w:val="single" w:sz="8" w:space="0" w:color="000000"/>
            </w:tcBorders>
          </w:tcPr>
          <w:p>
            <w:pPr>
              <w:pStyle w:val="Compact"/>
              <w:jc w:val="left"/>
            </w:pPr>
            <w:r>
              <w:rPr>
                <w:b/>
                <w:bCs/>
              </w:rPr>
              <w:t xml:space="preserve">Germany (DSK)</w:t>
            </w:r>
          </w:p>
        </w:tc>
        <w:tc>
          <w:tcPr>
            <w:tcW w:type="pct" w:w="1600"/>
            <w:tcBorders>
              <w:top w:val="single" w:sz="8" w:space="0" w:color="000000"/>
              <w:left w:val="single" w:sz="8" w:space="0" w:color="000000"/>
              <w:bottom w:val="single" w:sz="8" w:space="0" w:color="000000"/>
              <w:right w:val="single" w:sz="8" w:space="0" w:color="000000"/>
            </w:tcBorders>
          </w:tcPr>
          <w:p>
            <w:pPr>
              <w:pStyle w:val="Compact"/>
              <w:jc w:val="left"/>
            </w:pPr>
            <w:r>
              <w:t xml:space="preserve">DSK guidance: analytics tools that transfer data to US are presumptively unlawful; Matomo self-hosted with anonymisation acceptable</w:t>
            </w:r>
          </w:p>
        </w:tc>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shybrowser’s structural non-linkability exceeds Matomo’s anonymisation — no individual-level record in canonical state at all</w:t>
            </w:r>
          </w:p>
        </w:tc>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Works council consultation for workplace deployments; BDSG §26 for employee data</w:t>
            </w:r>
          </w:p>
        </w:tc>
      </w:tr>
      <w:tr>
        <w:tc>
          <w:tcPr>
            <w:tcW w:type="pct" w:w="650"/>
            <w:tcBorders>
              <w:top w:val="single" w:sz="8" w:space="0" w:color="000000"/>
              <w:left w:val="single" w:sz="8" w:space="0" w:color="000000"/>
              <w:bottom w:val="single" w:sz="8" w:space="0" w:color="000000"/>
              <w:right w:val="single" w:sz="8" w:space="0" w:color="000000"/>
            </w:tcBorders>
          </w:tcPr>
          <w:p>
            <w:pPr>
              <w:pStyle w:val="Compact"/>
              <w:jc w:val="left"/>
            </w:pPr>
            <w:r>
              <w:rPr>
                <w:b/>
                <w:bCs/>
              </w:rPr>
              <w:t xml:space="preserve">Ireland (DPC)</w:t>
            </w:r>
          </w:p>
        </w:tc>
        <w:tc>
          <w:tcPr>
            <w:tcW w:type="pct" w:w="1600"/>
            <w:tcBorders>
              <w:top w:val="single" w:sz="8" w:space="0" w:color="000000"/>
              <w:left w:val="single" w:sz="8" w:space="0" w:color="000000"/>
              <w:bottom w:val="single" w:sz="8" w:space="0" w:color="000000"/>
              <w:right w:val="single" w:sz="8" w:space="0" w:color="000000"/>
            </w:tcBorders>
          </w:tcPr>
          <w:p>
            <w:pPr>
              <w:pStyle w:val="Compact"/>
              <w:jc w:val="left"/>
            </w:pPr>
            <w:r>
              <w:t xml:space="preserve">LinkedIn 310M fine Oct 2024 (behavioural advertising without consent); Meta 1.2B fine May 2023</w:t>
            </w:r>
          </w:p>
        </w:tc>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Structural non-linkability addresses the identity–behaviour join cited in DPC enforcement; does not substitute for consent where required</w:t>
            </w:r>
          </w:p>
        </w:tc>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Consent or LIA balancing test documented; Art. 13 notice; DPO registration if large-scale systematic processing</w:t>
            </w:r>
          </w:p>
        </w:tc>
      </w:tr>
      <w:tr>
        <w:tc>
          <w:tcPr>
            <w:tcW w:type="pct" w:w="650"/>
            <w:tcBorders>
              <w:top w:val="single" w:sz="8" w:space="0" w:color="000000"/>
              <w:left w:val="single" w:sz="8" w:space="0" w:color="000000"/>
              <w:bottom w:val="single" w:sz="8" w:space="0" w:color="000000"/>
              <w:right w:val="single" w:sz="8" w:space="0" w:color="000000"/>
            </w:tcBorders>
          </w:tcPr>
          <w:p>
            <w:pPr>
              <w:pStyle w:val="Compact"/>
              <w:jc w:val="left"/>
            </w:pPr>
            <w:r>
              <w:rPr>
                <w:b/>
                <w:bCs/>
              </w:rPr>
              <w:t xml:space="preserve">US (California)</w:t>
            </w:r>
          </w:p>
        </w:tc>
        <w:tc>
          <w:tcPr>
            <w:tcW w:type="pct" w:w="1600"/>
            <w:tcBorders>
              <w:top w:val="single" w:sz="8" w:space="0" w:color="000000"/>
              <w:left w:val="single" w:sz="8" w:space="0" w:color="000000"/>
              <w:bottom w:val="single" w:sz="8" w:space="0" w:color="000000"/>
              <w:right w:val="single" w:sz="8" w:space="0" w:color="000000"/>
            </w:tcBorders>
          </w:tcPr>
          <w:p>
            <w:pPr>
              <w:pStyle w:val="Compact"/>
              <w:jc w:val="left"/>
            </w:pPr>
            <w:r>
              <w:t xml:space="preserve">CCPA/CPRA; AG enforcement on</w:t>
            </w:r>
            <w:r>
              <w:t xml:space="preserve"> </w:t>
            </w:r>
            <w:r>
              <w:t xml:space="preserve">“sharing”</w:t>
            </w:r>
            <w:r>
              <w:t xml:space="preserve"> </w:t>
            </w:r>
            <w:r>
              <w:t xml:space="preserve">for advertising</w:t>
            </w:r>
          </w:p>
        </w:tc>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No US-specific federal analytics law; CCPA applies to California residents</w:t>
            </w:r>
          </w:p>
        </w:tc>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Opt-out right for sharing; privacy notice; data broker registration if applicable</w:t>
            </w:r>
          </w:p>
        </w:tc>
      </w:tr>
    </w:tbl>
    <w:bookmarkEnd w:id="70"/>
    <w:bookmarkStart w:id="71" w:name="annex-d-browser"/>
    <w:p>
      <w:pPr>
        <w:numPr>
          <w:ilvl w:val="0"/>
          <w:numId w:val="1004"/>
        </w:numPr>
        <w:pStyle w:val="Heading2"/>
      </w:pPr>
      <w:r>
        <w:t xml:space="preserve">Annex D — Art. 9 Inference Risk Assessment</w:t>
      </w:r>
    </w:p>
    <w:p>
      <w:pPr>
        <w:pStyle w:val="FirstParagraph"/>
      </w:pPr>
      <w:r>
        <w:t xml:space="preserve">Art. 9 may apply to behavioural analytics deployments even where no explicit special-category data is collected, if the combination of behavioural signals permits inference of a special-category attribute. The following assessment framework applies:</w:t>
      </w:r>
    </w:p>
    <w:p>
      <w:pPr>
        <w:numPr>
          <w:ilvl w:val="0"/>
          <w:numId w:val="1003"/>
        </w:numPr>
      </w:pPr>
      <w:r>
        <w:rPr>
          <w:b/>
          <w:bCs/>
        </w:rPr>
        <w:t xml:space="preserve">Content type check.</w:t>
      </w:r>
      <w:r>
        <w:t xml:space="preserve"> </w:t>
      </w:r>
      <w:r>
        <w:t xml:space="preserve">Does the operator’s website or application serve content primarily about: health/medicine, mental health, reproductive health, political news/campaigns, religion/beliefs, trade union activities, sexual orientation/gender identity, race/ethnicity, or criminal history? If yes, proceed to step 2.</w:t>
      </w:r>
    </w:p>
    <w:p>
      <w:pPr>
        <w:numPr>
          <w:ilvl w:val="0"/>
          <w:numId w:val="1003"/>
        </w:numPr>
      </w:pPr>
      <w:r>
        <w:rPr>
          <w:b/>
          <w:bCs/>
        </w:rPr>
        <w:t xml:space="preserve">Inference feasibility check.</w:t>
      </w:r>
      <w:r>
        <w:t xml:space="preserve"> </w:t>
      </w:r>
      <w:r>
        <w:t xml:space="preserve">Can the sealed behavioural payload (page visits, search terms, interaction patterns) be combined with any other operator-held data to yield a special-category inference at the individual level? Even where canonical state prevents the join, operator-side context data may permit inference.</w:t>
      </w:r>
    </w:p>
    <w:p>
      <w:pPr>
        <w:numPr>
          <w:ilvl w:val="0"/>
          <w:numId w:val="1003"/>
        </w:numPr>
      </w:pPr>
      <w:r>
        <w:rPr>
          <w:b/>
          <w:bCs/>
        </w:rPr>
        <w:t xml:space="preserve">Outcome.</w:t>
      </w:r>
      <w:r>
        <w:t xml:space="preserve"> </w:t>
      </w:r>
      <w:r>
        <w:t xml:space="preserve">If both checks are positive: the deployment is Art. 9 processing; the operator must identify an Art. 9(2) basis (typically explicit consent); a supplementary Art. 9 DPIA section is required; this DPIA’s baseline conclusion does not apply without that supplement.</w:t>
      </w:r>
    </w:p>
    <w:bookmarkEnd w:id="71"/>
    <w:bookmarkEnd w:id="72"/>
    <w:sectPr w:rsidR="0042614C" w:rsidSect="004E12AC">
      <w:footerReference r:id="rId8" w:type="default"/>
      <w:headerReference r:id="rId9" w:type="first"/>
      <w:pgSz w:h="16838" w:w="11906"/>
      <w:pgMar w:bottom="1440" w:footer="737" w:gutter="0" w:header="360" w:left="1440" w:right="1440" w:top="1440"/>
      <w:pgNumType w:start="2"/>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5263369"/>
      <w:docPartObj>
        <w:docPartGallery w:val="Page Numbers (Bottom of Page)"/>
        <w:docPartUnique/>
      </w:docPartObj>
    </w:sdtPr>
    <w:sdtEndPr/>
    <w:sdtContent>
      <w:p w14:paraId="72363A71" w14:textId="7410E4AE" w:rsidR="00595B8E" w:rsidRDefault="00595B8E" w:rsidP="00E41CC7">
        <w:pPr>
          <w:pStyle w:val="FooterEDPB"/>
        </w:pPr>
        <w:r w:rsidRPr="004722AF">
          <w:rPr>
            <w:rStyle w:val="FooterEDPBChar"/>
            <w:noProof/>
            <w:lang w:eastAsia="en-GB"/>
          </w:rPr>
          <w:drawing>
            <wp:anchor distT="0" distB="0" distL="114300" distR="114300" simplePos="0" relativeHeight="251656704" behindDoc="0" locked="0" layoutInCell="1" allowOverlap="1" wp14:anchorId="260A661A" wp14:editId="77FBAFAF">
              <wp:simplePos x="0" y="0"/>
              <wp:positionH relativeFrom="column">
                <wp:posOffset>3943020</wp:posOffset>
              </wp:positionH>
              <wp:positionV relativeFrom="paragraph">
                <wp:posOffset>39708</wp:posOffset>
              </wp:positionV>
              <wp:extent cx="2255844" cy="137424"/>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European-Data-Protection-Board.png"/>
                      <pic:cNvPicPr/>
                    </pic:nvPicPr>
                    <pic:blipFill rotWithShape="1">
                      <a:blip r:embed="rId1">
                        <a:extLst>
                          <a:ext uri="{28A0092B-C50C-407E-A947-70E740481C1C}">
                            <a14:useLocalDpi xmlns:a14="http://schemas.microsoft.com/office/drawing/2010/main" val="0"/>
                          </a:ext>
                        </a:extLst>
                      </a:blip>
                      <a:srcRect t="22364" b="12716"/>
                      <a:stretch/>
                    </pic:blipFill>
                    <pic:spPr bwMode="auto">
                      <a:xfrm>
                        <a:off x="0" y="0"/>
                        <a:ext cx="2266195" cy="1380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722AF">
          <w:rPr>
            <w:rStyle w:val="FooterEDPBChar"/>
          </w:rPr>
          <w:fldChar w:fldCharType="begin"/>
        </w:r>
        <w:r w:rsidRPr="004722AF">
          <w:rPr>
            <w:rStyle w:val="FooterEDPBChar"/>
          </w:rPr>
          <w:instrText xml:space="preserve"> PAGE   \* MERGEFORMAT </w:instrText>
        </w:r>
        <w:r w:rsidRPr="004722AF">
          <w:rPr>
            <w:rStyle w:val="FooterEDPBChar"/>
          </w:rPr>
          <w:fldChar w:fldCharType="separate"/>
        </w:r>
        <w:r w:rsidR="004E12AC">
          <w:rPr>
            <w:rStyle w:val="FooterEDPBChar"/>
            <w:noProof/>
          </w:rPr>
          <w:t>14</w:t>
        </w:r>
        <w:r w:rsidRPr="004722AF">
          <w:rPr>
            <w:rStyle w:val="FooterEDPBChar"/>
          </w:rPr>
          <w:fldChar w:fldCharType="end"/>
        </w:r>
        <w:r w:rsidRPr="004722AF">
          <w:rPr>
            <w:rStyle w:val="FooterEDPBChar"/>
          </w:rPr>
          <w:t xml:space="preserve"> |</w:t>
        </w:r>
        <w:r w:rsidR="001C2895">
          <w:rPr>
            <w:rStyle w:val="FooterEDPBChar"/>
          </w:rPr>
          <w:t xml:space="preserve"> Adopted</w:t>
        </w:r>
        <w:r w:rsidRPr="004722AF">
          <w:rPr>
            <w:rStyle w:val="FooterEDPBChar"/>
          </w:rPr>
          <w:t xml:space="preserve"> </w:t>
        </w:r>
      </w:p>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r="http://schemas.openxmlformats.org/officeDocument/2006/relationships" xmlns:wp="http://schemas.openxmlformats.org/drawingml/2006/wordprocessingDrawing" xmlns:wp14="http://schemas.microsoft.com/office/word/2010/wordprocessingDrawing" xmlns:w="http://schemas.openxmlformats.org/wordprocessingml/2006/main" xmlns:w14="http://schemas.microsoft.com/office/word/2010/wordml" xmlns:wps="http://schemas.microsoft.com/office/word/2010/wordprocessingShape" xmlns:a="http://schemas.openxmlformats.org/drawingml/2006/main" mc:Ignorable="w14 wp14">
  <w:p>
    <w:pPr>
      <w:pStyle w:val="Header"/>
      <w:jc w:val="right"/>
      <w:spacing w:before="60" w:after="60"/>
    </w:pPr>
    <w:r>
      <w:rPr>
        <w:noProof/>
      </w:rPr>
      <w:drawing>
        <wp:anchor distT="0" distB="0" distL="0" distR="0" simplePos="0" relativeHeight="251660800" behindDoc="1" locked="1" layoutInCell="1" allowOverlap="0" wp14:anchorId="0F49D875" wp14:editId="1F01C477">
          <wp:simplePos x="0" y="0"/>
          <wp:positionH relativeFrom="page">
            <wp:align>left</wp:align>
          </wp:positionH>
          <wp:positionV relativeFrom="page">
            <wp:align>top</wp:align>
          </wp:positionV>
          <wp:extent cx="7552055" cy="975360"/>
          <wp:effectExtent l="0" t="0" r="0" b="0"/>
          <wp:wrapNone/>
          <wp:docPr id="4" name="HeaderBar"/>
          <wp:cNvGraphicFramePr/>
          <a:graphic>
            <a:graphicData uri="http://schemas.microsoft.com/office/word/2010/wordprocessingShape">
              <wps:wsp>
                <wps:cNvSpPr>
                  <a:spLocks noChangeArrowheads="1"/>
                </wps:cNvSpPr>
                <wps:spPr>
                  <a:xfrm>
                    <a:off x="0" y="0"/>
                    <a:ext cx="7552055" cy="975360"/>
                  </a:xfrm>
                  <a:prstGeom prst="rect">
                    <a:avLst/>
                  </a:prstGeom>
                  <a:solidFill>
                    <a:srgbClr val="CCFF66"/>
                  </a:solidFill>
                  <a:ln>
                    <a:noFill/>
                  </a:ln>
                </wps:spPr>
                <wps:bodyPr/>
              </wps:wsp>
            </a:graphicData>
          </a:graphic>
        </wp:anchor>
      </w:drawing>
    </w:r>
    <w:r>
      <w:rPr>
        <w:rFonts w:ascii="Glory" w:hAnsi="Glory" w:cs="Glory"/>
        <w:b/>
        <w:color w:val="0F172A"/>
        <w:sz w:val="14"/>
        <w:szCs w:val="14"/>
      </w:rPr>
      <w:t xml:space="preserve">co-mission — Shyware Domain DPIA</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527542"/>
    <w:multiLevelType w:val="hybridMultilevel"/>
    <w:tmpl w:val="356E4B16"/>
    <w:lvl w:ilvl="0" w:tplc="0332DB7E">
      <w:start w:val="1"/>
      <w:numFmt w:val="decimal"/>
      <w:pStyle w:val="Listofnumbers-EDPB"/>
      <w:lvlText w:val="%1"/>
      <w:lvlJc w:val="left"/>
      <w:pPr>
        <w:ind w:hanging="360" w:left="720"/>
      </w:pPr>
      <w:rPr>
        <w:rFonts w:ascii="Arial" w:cs="Calibri" w:hAnsi="Arial" w:hint="default"/>
        <w:b w:val="0"/>
        <w:bCs w:val="0"/>
        <w:i w:val="0"/>
        <w:iCs w:val="0"/>
        <w:caps w:val="0"/>
        <w:strike w:val="0"/>
        <w:dstrike w:val="0"/>
        <w:outline w:val="0"/>
        <w:shadow w:val="0"/>
        <w:emboss w:val="0"/>
        <w:imprint w:val="0"/>
        <w:vanish w:val="0"/>
        <w:color w:themeColor="text1" w:val="000000"/>
        <w:spacing w:val="0"/>
        <w:kern w:val="0"/>
        <w:position w:val="0"/>
        <w:sz w:val="22"/>
        <w:szCs w:val="22"/>
        <w:u w:val="none"/>
        <w:effect w:val="none"/>
        <w:vertAlign w:val="baseline"/>
        <w14:ligatures w14:val="none"/>
        <w14:numForm w14:val="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
    <w:nsid w:val="023A14D8"/>
    <w:multiLevelType w:val="hybridMultilevel"/>
    <w:tmpl w:val="A950F1F4"/>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
    <w:nsid w:val="0E0224D6"/>
    <w:multiLevelType w:val="multilevel"/>
    <w:tmpl w:val="C70EEC7E"/>
    <w:lvl w:ilvl="0">
      <w:numFmt w:val="decimal"/>
      <w:lvlText w:val="%1"/>
      <w:lvlJc w:val="left"/>
      <w:pPr>
        <w:ind w:hanging="360" w:left="360"/>
      </w:pPr>
      <w:rPr>
        <w:rFonts w:hint="default"/>
      </w:rPr>
    </w:lvl>
    <w:lvl w:ilvl="1">
      <w:start w:val="3"/>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440" w:left="144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800" w:left="1800"/>
      </w:pPr>
      <w:rPr>
        <w:rFonts w:hint="default"/>
      </w:rPr>
    </w:lvl>
    <w:lvl w:ilvl="8">
      <w:start w:val="1"/>
      <w:numFmt w:val="decimal"/>
      <w:lvlText w:val="%1.%2.%3.%4.%5.%6.%7.%8.%9"/>
      <w:lvlJc w:val="left"/>
      <w:pPr>
        <w:ind w:hanging="1800" w:left="1800"/>
      </w:pPr>
      <w:rPr>
        <w:rFonts w:hint="default"/>
      </w:rPr>
    </w:lvl>
  </w:abstractNum>
  <w:abstractNum w15:restartNumberingAfterBreak="0" w:abstractNumId="3">
    <w:nsid w:val="11ED5838"/>
    <w:multiLevelType w:val="hybridMultilevel"/>
    <w:tmpl w:val="3384B8BE"/>
    <w:lvl w:ilvl="0" w:tplc="08090003">
      <w:start w:val="1"/>
      <w:numFmt w:val="bullet"/>
      <w:lvlText w:val="o"/>
      <w:lvlJc w:val="left"/>
      <w:pPr>
        <w:ind w:hanging="360" w:left="720"/>
      </w:pPr>
      <w:rPr>
        <w:rFonts w:ascii="Courier New" w:cs="Courier New" w:hAnsi="Courier New" w:hint="default"/>
      </w:r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4">
    <w:nsid w:val="19BD0E53"/>
    <w:multiLevelType w:val="hybridMultilevel"/>
    <w:tmpl w:val="521EAEF8"/>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
    <w:nsid w:val="2C3816A7"/>
    <w:multiLevelType w:val="hybridMultilevel"/>
    <w:tmpl w:val="0BDAF450"/>
    <w:lvl w:ilvl="0" w:tplc="3B9EB0B4">
      <w:start w:val="1"/>
      <w:numFmt w:val="decimal"/>
      <w:lvlText w:val="%1."/>
      <w:lvlJc w:val="left"/>
      <w:pPr>
        <w:ind w:hanging="360" w:left="360"/>
      </w:pPr>
      <w:rPr>
        <w:rFonts w:hint="default"/>
        <w:b/>
        <w:bCs/>
      </w:rPr>
    </w:lvl>
    <w:lvl w:ilvl="1" w:tentative="1" w:tplc="0C0A0019">
      <w:start w:val="1"/>
      <w:numFmt w:val="lowerLetter"/>
      <w:lvlText w:val="%2."/>
      <w:lvlJc w:val="left"/>
      <w:pPr>
        <w:ind w:hanging="360" w:left="1080"/>
      </w:pPr>
    </w:lvl>
    <w:lvl w:ilvl="2" w:tentative="1" w:tplc="0C0A001B">
      <w:start w:val="1"/>
      <w:numFmt w:val="lowerRoman"/>
      <w:lvlText w:val="%3."/>
      <w:lvlJc w:val="right"/>
      <w:pPr>
        <w:ind w:hanging="180" w:left="1800"/>
      </w:pPr>
    </w:lvl>
    <w:lvl w:ilvl="3" w:tentative="1" w:tplc="0C0A000F">
      <w:start w:val="1"/>
      <w:numFmt w:val="decimal"/>
      <w:lvlText w:val="%4."/>
      <w:lvlJc w:val="left"/>
      <w:pPr>
        <w:ind w:hanging="360" w:left="2520"/>
      </w:pPr>
    </w:lvl>
    <w:lvl w:ilvl="4" w:tentative="1" w:tplc="0C0A0019">
      <w:start w:val="1"/>
      <w:numFmt w:val="lowerLetter"/>
      <w:lvlText w:val="%5."/>
      <w:lvlJc w:val="left"/>
      <w:pPr>
        <w:ind w:hanging="360" w:left="3240"/>
      </w:pPr>
    </w:lvl>
    <w:lvl w:ilvl="5" w:tentative="1" w:tplc="0C0A001B">
      <w:start w:val="1"/>
      <w:numFmt w:val="lowerRoman"/>
      <w:lvlText w:val="%6."/>
      <w:lvlJc w:val="right"/>
      <w:pPr>
        <w:ind w:hanging="180" w:left="3960"/>
      </w:pPr>
    </w:lvl>
    <w:lvl w:ilvl="6" w:tentative="1" w:tplc="0C0A000F">
      <w:start w:val="1"/>
      <w:numFmt w:val="decimal"/>
      <w:lvlText w:val="%7."/>
      <w:lvlJc w:val="left"/>
      <w:pPr>
        <w:ind w:hanging="360" w:left="4680"/>
      </w:pPr>
    </w:lvl>
    <w:lvl w:ilvl="7" w:tentative="1" w:tplc="0C0A0019">
      <w:start w:val="1"/>
      <w:numFmt w:val="lowerLetter"/>
      <w:lvlText w:val="%8."/>
      <w:lvlJc w:val="left"/>
      <w:pPr>
        <w:ind w:hanging="360" w:left="5400"/>
      </w:pPr>
    </w:lvl>
    <w:lvl w:ilvl="8" w:tentative="1" w:tplc="0C0A001B">
      <w:start w:val="1"/>
      <w:numFmt w:val="lowerRoman"/>
      <w:lvlText w:val="%9."/>
      <w:lvlJc w:val="right"/>
      <w:pPr>
        <w:ind w:hanging="180" w:left="6120"/>
      </w:pPr>
    </w:lvl>
  </w:abstractNum>
  <w:abstractNum w15:restartNumberingAfterBreak="0" w:abstractNumId="6">
    <w:nsid w:val="470A105A"/>
    <w:multiLevelType w:val="hybridMultilevel"/>
    <w:tmpl w:val="14B60DA2"/>
    <w:lvl w:ilvl="0" w:tplc="3F54FD6C">
      <w:start w:val="1"/>
      <w:numFmt w:val="decimal"/>
      <w:pStyle w:val="NumberedParagraph"/>
      <w:lvlText w:val="(%1)"/>
      <w:lvlJc w:val="left"/>
      <w:pPr>
        <w:ind w:hanging="360" w:left="360"/>
      </w:pPr>
      <w:rPr>
        <w:rFonts w:ascii="Arial" w:cs="Calibri" w:hAnsi="Arial" w:hint="default"/>
        <w:b w:val="0"/>
        <w:bCs w:val="0"/>
        <w:i w:val="0"/>
        <w:iCs w:val="0"/>
        <w:caps w:val="0"/>
        <w:smallCaps w:val="0"/>
        <w:strike w:val="0"/>
        <w:dstrike w:val="0"/>
        <w:outline w:val="0"/>
        <w:shadow w:val="0"/>
        <w:emboss w:val="0"/>
        <w:imprint w:val="0"/>
        <w:vanish w:val="0"/>
        <w:color w:themeColor="text1" w:val="000000"/>
        <w:spacing w:val="0"/>
        <w:kern w:val="0"/>
        <w:position w:val="0"/>
        <w:sz w:val="24"/>
        <w:szCs w:val="22"/>
        <w:u w:val="none"/>
        <w:effect w:val="none"/>
        <w:vertAlign w:val="baseline"/>
        <w14:ligatures w14:val="none"/>
        <w14:numForm w14:val="default"/>
      </w:rPr>
    </w:lvl>
    <w:lvl w:ilvl="1" w:tplc="250CAAB8">
      <w:numFmt w:val="bullet"/>
      <w:lvlText w:val="-"/>
      <w:lvlJc w:val="left"/>
      <w:pPr>
        <w:ind w:hanging="360" w:left="447"/>
      </w:pPr>
      <w:rPr>
        <w:rFonts w:ascii="Calibri" w:eastAsia="Times New Roman" w:hAnsi="Calibri" w:hint="default"/>
      </w:rPr>
    </w:lvl>
    <w:lvl w:ilvl="2" w:tentative="1" w:tplc="0809001B">
      <w:start w:val="1"/>
      <w:numFmt w:val="lowerRoman"/>
      <w:lvlText w:val="%3."/>
      <w:lvlJc w:val="right"/>
      <w:pPr>
        <w:ind w:hanging="180" w:left="1167"/>
      </w:pPr>
      <w:rPr>
        <w:rFonts w:cs="Times New Roman"/>
      </w:rPr>
    </w:lvl>
    <w:lvl w:ilvl="3" w:tentative="1" w:tplc="0809000F">
      <w:start w:val="1"/>
      <w:numFmt w:val="decimal"/>
      <w:lvlText w:val="%4."/>
      <w:lvlJc w:val="left"/>
      <w:pPr>
        <w:ind w:hanging="360" w:left="1887"/>
      </w:pPr>
      <w:rPr>
        <w:rFonts w:cs="Times New Roman"/>
      </w:rPr>
    </w:lvl>
    <w:lvl w:ilvl="4" w:tplc="08090019">
      <w:start w:val="1"/>
      <w:numFmt w:val="lowerLetter"/>
      <w:lvlText w:val="%5."/>
      <w:lvlJc w:val="left"/>
      <w:pPr>
        <w:ind w:hanging="360" w:left="2607"/>
      </w:pPr>
      <w:rPr>
        <w:rFonts w:cs="Times New Roman"/>
      </w:rPr>
    </w:lvl>
    <w:lvl w:ilvl="5" w:tentative="1" w:tplc="0809001B">
      <w:start w:val="1"/>
      <w:numFmt w:val="lowerRoman"/>
      <w:lvlText w:val="%6."/>
      <w:lvlJc w:val="right"/>
      <w:pPr>
        <w:ind w:hanging="180" w:left="3327"/>
      </w:pPr>
      <w:rPr>
        <w:rFonts w:cs="Times New Roman"/>
      </w:rPr>
    </w:lvl>
    <w:lvl w:ilvl="6" w:tentative="1" w:tplc="0809000F">
      <w:start w:val="1"/>
      <w:numFmt w:val="decimal"/>
      <w:lvlText w:val="%7."/>
      <w:lvlJc w:val="left"/>
      <w:pPr>
        <w:ind w:hanging="360" w:left="4047"/>
      </w:pPr>
      <w:rPr>
        <w:rFonts w:cs="Times New Roman"/>
      </w:rPr>
    </w:lvl>
    <w:lvl w:ilvl="7" w:tentative="1" w:tplc="08090019">
      <w:start w:val="1"/>
      <w:numFmt w:val="lowerLetter"/>
      <w:lvlText w:val="%8."/>
      <w:lvlJc w:val="left"/>
      <w:pPr>
        <w:ind w:hanging="360" w:left="4767"/>
      </w:pPr>
      <w:rPr>
        <w:rFonts w:cs="Times New Roman"/>
      </w:rPr>
    </w:lvl>
    <w:lvl w:ilvl="8" w:tentative="1" w:tplc="0809001B">
      <w:start w:val="1"/>
      <w:numFmt w:val="lowerRoman"/>
      <w:lvlText w:val="%9."/>
      <w:lvlJc w:val="right"/>
      <w:pPr>
        <w:ind w:hanging="180" w:left="5487"/>
      </w:pPr>
      <w:rPr>
        <w:rFonts w:cs="Times New Roman"/>
      </w:rPr>
    </w:lvl>
  </w:abstractNum>
  <w:abstractNum w15:restartNumberingAfterBreak="0" w:abstractNumId="7">
    <w:nsid w:val="4E3B6CDB"/>
    <w:multiLevelType w:val="multilevel"/>
    <w:tmpl w:val="BE0EAF1A"/>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8">
    <w:nsid w:val="57F76DF2"/>
    <w:multiLevelType w:val="hybridMultilevel"/>
    <w:tmpl w:val="AF0497B4"/>
    <w:lvl w:ilvl="0" w:tplc="4E463AC6">
      <w:start w:val="1"/>
      <w:numFmt w:val="bullet"/>
      <w:pStyle w:val="Listbullets-EDPB"/>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9">
    <w:nsid w:val="5E20358E"/>
    <w:multiLevelType w:val="multilevel"/>
    <w:tmpl w:val="723E238C"/>
    <w:lvl w:ilvl="0">
      <w:numFmt w:val="decimal"/>
      <w:lvlText w:val="%1"/>
      <w:lvlJc w:val="left"/>
      <w:pPr>
        <w:ind w:hanging="360" w:left="360"/>
      </w:pPr>
      <w:rPr>
        <w:rFonts w:hint="default"/>
      </w:rPr>
    </w:lvl>
    <w:lvl w:ilvl="1">
      <w:start w:val="1"/>
      <w:numFmt w:val="decimal"/>
      <w:isLgl/>
      <w:lvlText w:val="%1.%2"/>
      <w:lvlJc w:val="left"/>
      <w:pPr>
        <w:ind w:hanging="360" w:left="360"/>
      </w:pPr>
      <w:rPr>
        <w:rFonts w:hint="default"/>
      </w:rPr>
    </w:lvl>
    <w:lvl w:ilvl="2">
      <w:start w:val="1"/>
      <w:numFmt w:val="decimal"/>
      <w:isLgl/>
      <w:lvlText w:val="%1.%2.%3"/>
      <w:lvlJc w:val="left"/>
      <w:pPr>
        <w:ind w:hanging="720" w:left="720"/>
      </w:pPr>
      <w:rPr>
        <w:rFonts w:hint="default"/>
      </w:rPr>
    </w:lvl>
    <w:lvl w:ilvl="3">
      <w:start w:val="1"/>
      <w:numFmt w:val="decimal"/>
      <w:isLgl/>
      <w:lvlText w:val="%1.%2.%3.%4"/>
      <w:lvlJc w:val="left"/>
      <w:pPr>
        <w:ind w:hanging="720" w:left="720"/>
      </w:pPr>
      <w:rPr>
        <w:rFonts w:hint="default"/>
      </w:rPr>
    </w:lvl>
    <w:lvl w:ilvl="4">
      <w:start w:val="1"/>
      <w:numFmt w:val="decimal"/>
      <w:isLgl/>
      <w:lvlText w:val="%1.%2.%3.%4.%5"/>
      <w:lvlJc w:val="left"/>
      <w:pPr>
        <w:ind w:hanging="1080" w:left="1080"/>
      </w:pPr>
      <w:rPr>
        <w:rFonts w:hint="default"/>
      </w:rPr>
    </w:lvl>
    <w:lvl w:ilvl="5">
      <w:start w:val="1"/>
      <w:numFmt w:val="decimal"/>
      <w:isLgl/>
      <w:lvlText w:val="%1.%2.%3.%4.%5.%6"/>
      <w:lvlJc w:val="left"/>
      <w:pPr>
        <w:ind w:hanging="1080" w:left="1080"/>
      </w:pPr>
      <w:rPr>
        <w:rFonts w:hint="default"/>
      </w:rPr>
    </w:lvl>
    <w:lvl w:ilvl="6">
      <w:start w:val="1"/>
      <w:numFmt w:val="decimal"/>
      <w:isLgl/>
      <w:lvlText w:val="%1.%2.%3.%4.%5.%6.%7"/>
      <w:lvlJc w:val="left"/>
      <w:pPr>
        <w:ind w:hanging="1440" w:left="1440"/>
      </w:pPr>
      <w:rPr>
        <w:rFonts w:hint="default"/>
      </w:rPr>
    </w:lvl>
    <w:lvl w:ilvl="7">
      <w:start w:val="1"/>
      <w:numFmt w:val="decimal"/>
      <w:isLgl/>
      <w:lvlText w:val="%1.%2.%3.%4.%5.%6.%7.%8"/>
      <w:lvlJc w:val="left"/>
      <w:pPr>
        <w:ind w:hanging="1440" w:left="1440"/>
      </w:pPr>
      <w:rPr>
        <w:rFonts w:hint="default"/>
      </w:rPr>
    </w:lvl>
    <w:lvl w:ilvl="8">
      <w:start w:val="1"/>
      <w:numFmt w:val="decimal"/>
      <w:isLgl/>
      <w:lvlText w:val="%1.%2.%3.%4.%5.%6.%7.%8.%9"/>
      <w:lvlJc w:val="left"/>
      <w:pPr>
        <w:ind w:hanging="1440" w:left="1440"/>
      </w:pPr>
      <w:rPr>
        <w:rFonts w:hint="default"/>
      </w:rPr>
    </w:lvl>
  </w:abstractNum>
  <w:abstractNum w15:restartNumberingAfterBreak="0" w:abstractNumId="10">
    <w:nsid w:val="64D63807"/>
    <w:multiLevelType w:val="multilevel"/>
    <w:tmpl w:val="8056077E"/>
    <w:lvl w:ilvl="0">
      <w:start w:val="1"/>
      <w:numFmt w:val="decimal"/>
      <w:pStyle w:val="AnnexH1EDPB"/>
      <w:suff w:val="space"/>
      <w:lvlText w:val="Annex %1 "/>
      <w:lvlJc w:val="left"/>
      <w:pPr>
        <w:ind w:hanging="432" w:left="432"/>
      </w:pPr>
      <w:rPr>
        <w:rFonts w:ascii="Arial" w:hAnsi="Arial" w:hint="default"/>
        <w:b/>
        <w:i w:val="0"/>
        <w:caps w:val="0"/>
        <w:vanish w:val="0"/>
        <w:color w:themeColor="accent1" w:val="0A105D"/>
        <w:sz w:val="32"/>
      </w:rPr>
    </w:lvl>
    <w:lvl w:ilvl="1">
      <w:start w:val="1"/>
      <w:numFmt w:val="decimal"/>
      <w:lvlText w:val="%1.%2"/>
      <w:lvlJc w:val="left"/>
      <w:pPr>
        <w:ind w:hanging="576" w:left="576"/>
      </w:pPr>
      <w:rPr>
        <w:rFonts w:ascii="Arial" w:hAnsi="Arial" w:hint="default"/>
        <w:b/>
        <w:i w:val="0"/>
        <w:color w:themeColor="accent1" w:val="0A105D"/>
        <w:sz w:val="28"/>
      </w:rPr>
    </w:lvl>
    <w:lvl w:ilvl="2">
      <w:start w:val="1"/>
      <w:numFmt w:val="decimal"/>
      <w:lvlText w:val="%1.%2.%3"/>
      <w:lvlJc w:val="left"/>
      <w:pPr>
        <w:ind w:hanging="720" w:left="720"/>
      </w:pPr>
      <w:rPr>
        <w:rFonts w:hint="default"/>
      </w:rPr>
    </w:lvl>
    <w:lvl w:ilvl="3">
      <w:start w:val="1"/>
      <w:numFmt w:val="decimal"/>
      <w:lvlText w:val="%1.%2.%3.%4"/>
      <w:lvlJc w:val="left"/>
      <w:pPr>
        <w:ind w:hanging="864" w:left="864"/>
      </w:pPr>
      <w:rPr>
        <w:rFonts w:hint="default"/>
      </w:rPr>
    </w:lvl>
    <w:lvl w:ilvl="4">
      <w:start w:val="1"/>
      <w:numFmt w:val="decimal"/>
      <w:lvlText w:val="%1.%2.%3.%4.%5"/>
      <w:lvlJc w:val="left"/>
      <w:pPr>
        <w:ind w:hanging="1008" w:left="1008"/>
      </w:pPr>
      <w:rPr>
        <w:rFonts w:hint="default"/>
      </w:rPr>
    </w:lvl>
    <w:lvl w:ilvl="5">
      <w:start w:val="1"/>
      <w:numFmt w:val="decimal"/>
      <w:lvlText w:val="%1.%2.%3.%4.%5.%6"/>
      <w:lvlJc w:val="left"/>
      <w:pPr>
        <w:ind w:hanging="1152" w:left="1152"/>
      </w:pPr>
      <w:rPr>
        <w:rFonts w:hint="default"/>
      </w:rPr>
    </w:lvl>
    <w:lvl w:ilvl="6">
      <w:start w:val="1"/>
      <w:numFmt w:val="decimal"/>
      <w:lvlText w:val="%1.%2.%3.%4.%5.%6.%7"/>
      <w:lvlJc w:val="left"/>
      <w:pPr>
        <w:ind w:hanging="1296" w:left="1296"/>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584" w:left="1584"/>
      </w:pPr>
      <w:rPr>
        <w:rFonts w:hint="default"/>
      </w:rPr>
    </w:lvl>
  </w:abstractNum>
  <w:abstractNum w15:restartNumberingAfterBreak="0" w:abstractNumId="11">
    <w:nsid w:val="682634CB"/>
    <w:multiLevelType w:val="multilevel"/>
    <w:tmpl w:val="DEEE0E52"/>
    <w:lvl w:ilvl="0">
      <w:start w:val="1"/>
      <w:numFmt w:val="decimal"/>
      <w:pStyle w:val="NumberedExampleinabox-EDPB"/>
      <w:lvlText w:val="Example %1:"/>
      <w:lvlJc w:val="left"/>
      <w:pPr>
        <w:ind w:hanging="360" w:left="1260"/>
      </w:pPr>
      <w:rPr>
        <w:rFonts w:cs="Times New Roman" w:hint="default"/>
        <w:b/>
        <w:i w:val="0"/>
        <w:color w:themeColor="accent1" w:val="0A105D"/>
      </w:rPr>
    </w:lvl>
    <w:lvl w:ilvl="1">
      <w:start w:val="1"/>
      <w:numFmt w:val="lowerLetter"/>
      <w:lvlText w:val="%2."/>
      <w:lvlJc w:val="left"/>
      <w:pPr>
        <w:ind w:hanging="360" w:left="2357"/>
      </w:pPr>
      <w:rPr>
        <w:rFonts w:cs="Times New Roman" w:hint="default"/>
      </w:rPr>
    </w:lvl>
    <w:lvl w:ilvl="2">
      <w:start w:val="1"/>
      <w:numFmt w:val="lowerRoman"/>
      <w:lvlText w:val="%3."/>
      <w:lvlJc w:val="right"/>
      <w:pPr>
        <w:ind w:hanging="180" w:left="3077"/>
      </w:pPr>
      <w:rPr>
        <w:rFonts w:cs="Times New Roman" w:hint="default"/>
      </w:rPr>
    </w:lvl>
    <w:lvl w:ilvl="3">
      <w:start w:val="1"/>
      <w:numFmt w:val="decimal"/>
      <w:lvlText w:val="%4."/>
      <w:lvlJc w:val="left"/>
      <w:pPr>
        <w:ind w:hanging="360" w:left="3797"/>
      </w:pPr>
      <w:rPr>
        <w:rFonts w:cs="Times New Roman" w:hint="default"/>
      </w:rPr>
    </w:lvl>
    <w:lvl w:ilvl="4">
      <w:start w:val="1"/>
      <w:numFmt w:val="lowerLetter"/>
      <w:lvlText w:val="%5."/>
      <w:lvlJc w:val="left"/>
      <w:pPr>
        <w:ind w:hanging="360" w:left="4517"/>
      </w:pPr>
      <w:rPr>
        <w:rFonts w:cs="Times New Roman" w:hint="default"/>
      </w:rPr>
    </w:lvl>
    <w:lvl w:ilvl="5">
      <w:start w:val="1"/>
      <w:numFmt w:val="lowerRoman"/>
      <w:lvlText w:val="%6."/>
      <w:lvlJc w:val="right"/>
      <w:pPr>
        <w:ind w:hanging="180" w:left="5237"/>
      </w:pPr>
      <w:rPr>
        <w:rFonts w:cs="Times New Roman" w:hint="default"/>
      </w:rPr>
    </w:lvl>
    <w:lvl w:ilvl="6">
      <w:start w:val="1"/>
      <w:numFmt w:val="decimal"/>
      <w:lvlText w:val="%7."/>
      <w:lvlJc w:val="left"/>
      <w:pPr>
        <w:ind w:hanging="360" w:left="5957"/>
      </w:pPr>
      <w:rPr>
        <w:rFonts w:cs="Times New Roman" w:hint="default"/>
      </w:rPr>
    </w:lvl>
    <w:lvl w:ilvl="7">
      <w:start w:val="1"/>
      <w:numFmt w:val="lowerLetter"/>
      <w:lvlText w:val="%8."/>
      <w:lvlJc w:val="left"/>
      <w:pPr>
        <w:ind w:hanging="360" w:left="6677"/>
      </w:pPr>
      <w:rPr>
        <w:rFonts w:cs="Times New Roman" w:hint="default"/>
      </w:rPr>
    </w:lvl>
    <w:lvl w:ilvl="8">
      <w:start w:val="1"/>
      <w:numFmt w:val="lowerRoman"/>
      <w:lvlText w:val="%9."/>
      <w:lvlJc w:val="right"/>
      <w:pPr>
        <w:ind w:hanging="180" w:left="7397"/>
      </w:pPr>
      <w:rPr>
        <w:rFonts w:cs="Times New Roman" w:hint="default"/>
      </w:rPr>
    </w:lvl>
  </w:abstractNum>
  <w:abstractNum w15:restartNumberingAfterBreak="0" w:abstractNumId="12">
    <w:nsid w:val="697A3767"/>
    <w:multiLevelType w:val="hybridMultilevel"/>
    <w:tmpl w:val="681EAF7C"/>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3">
    <w:nsid w:val="778F70C8"/>
    <w:multiLevelType w:val="multilevel"/>
    <w:tmpl w:val="BCFA67AC"/>
    <w:lvl w:ilvl="0">
      <w:start w:val="1"/>
      <w:numFmt w:val="decimal"/>
      <w:pStyle w:val="Heading1"/>
      <w:suff w:val="space"/>
      <w:lvlText w:val="%1 "/>
      <w:lvlJc w:val="left"/>
      <w:pPr>
        <w:ind w:firstLine="0" w:left="0"/>
      </w:pPr>
      <w:rPr>
        <w:rFonts w:ascii="Arial" w:hAnsi="Arial" w:hint="default"/>
        <w:b/>
        <w:i w:val="0"/>
        <w:caps w:val="0"/>
        <w:vanish w:val="0"/>
        <w:color w:themeColor="accent3" w:val="0A105D"/>
        <w:sz w:val="32"/>
      </w:rPr>
    </w:lvl>
    <w:lvl w:ilvl="1">
      <w:start w:val="1"/>
      <w:numFmt w:val="decimal"/>
      <w:pStyle w:val="Heading2"/>
      <w:suff w:val="space"/>
      <w:lvlText w:val="%1.%2"/>
      <w:lvlJc w:val="left"/>
      <w:pPr>
        <w:ind w:hanging="5387" w:left="5387"/>
      </w:pPr>
      <w:rPr>
        <w:rFonts w:ascii="Arial" w:hAnsi="Arial" w:hint="default"/>
        <w:b/>
        <w:i w:val="0"/>
        <w:sz w:val="28"/>
      </w:rPr>
    </w:lvl>
    <w:lvl w:ilvl="2">
      <w:start w:val="1"/>
      <w:numFmt w:val="decimal"/>
      <w:pStyle w:val="Heading3"/>
      <w:suff w:val="space"/>
      <w:lvlText w:val="%1.%2.%3"/>
      <w:lvlJc w:val="left"/>
      <w:pPr>
        <w:ind w:firstLine="0" w:left="0"/>
      </w:pPr>
      <w:rPr>
        <w:rFonts w:ascii="Arial" w:hAnsi="Arial" w:hint="default"/>
        <w:b/>
        <w:i w:val="0"/>
        <w:color w:themeColor="accent1" w:val="0A105D"/>
        <w:sz w:val="24"/>
      </w:rPr>
    </w:lvl>
    <w:lvl w:ilvl="3">
      <w:start w:val="1"/>
      <w:numFmt w:val="decimal"/>
      <w:suff w:val="space"/>
      <w:lvlText w:val="%1.%2.%3.%4"/>
      <w:lvlJc w:val="left"/>
      <w:pPr>
        <w:ind w:firstLine="0" w:left="0"/>
      </w:pPr>
      <w:rPr>
        <w:rFonts w:ascii="Arial" w:hAnsi="Arial" w:hint="default"/>
        <w:b/>
        <w:i w:val="0"/>
        <w:color w:themeColor="accent2" w:val="08149C"/>
        <w:sz w:val="22"/>
      </w:rPr>
    </w:lvl>
    <w:lvl w:ilvl="4">
      <w:start w:val="1"/>
      <w:numFmt w:val="decimal"/>
      <w:suff w:val="space"/>
      <w:lvlText w:val="%1.%2.%3.%4.%5"/>
      <w:lvlJc w:val="left"/>
      <w:pPr>
        <w:ind w:firstLine="0" w:left="0"/>
      </w:pPr>
      <w:rPr>
        <w:rFonts w:ascii="Arial" w:hAnsi="Arial" w:hint="default"/>
        <w:b/>
        <w:i w:val="0"/>
        <w:sz w:val="22"/>
      </w:rPr>
    </w:lvl>
    <w:lvl w:ilvl="5">
      <w:start w:val="1"/>
      <w:numFmt w:val="decimal"/>
      <w:pStyle w:val="Heading6"/>
      <w:suff w:val="space"/>
      <w:lvlText w:val="%1.%2.%3.%4.%5.%6"/>
      <w:lvlJc w:val="left"/>
      <w:pPr>
        <w:ind w:firstLine="0" w:left="0"/>
      </w:pPr>
      <w:rPr>
        <w:rFonts w:hint="default"/>
      </w:rPr>
    </w:lvl>
    <w:lvl w:ilvl="6">
      <w:start w:val="1"/>
      <w:numFmt w:val="decimal"/>
      <w:pStyle w:val="Heading7"/>
      <w:suff w:val="space"/>
      <w:lvlText w:val="%1.%2.%3.%4.%5.%6.%7"/>
      <w:lvlJc w:val="left"/>
      <w:pPr>
        <w:ind w:firstLine="0" w:left="0"/>
      </w:pPr>
      <w:rPr>
        <w:rFonts w:hint="default"/>
      </w:rPr>
    </w:lvl>
    <w:lvl w:ilvl="7">
      <w:start w:val="1"/>
      <w:numFmt w:val="decimal"/>
      <w:pStyle w:val="Heading8"/>
      <w:suff w:val="space"/>
      <w:lvlText w:val="%1.%2.%3.%4.%5.%6.%7.%8"/>
      <w:lvlJc w:val="left"/>
      <w:pPr>
        <w:ind w:firstLine="0" w:left="0"/>
      </w:pPr>
      <w:rPr>
        <w:rFonts w:hint="default"/>
      </w:rPr>
    </w:lvl>
    <w:lvl w:ilvl="8">
      <w:start w:val="1"/>
      <w:numFmt w:val="decimal"/>
      <w:pStyle w:val="Heading9"/>
      <w:lvlText w:val="%1.%2.%3.%4.%5.%6.%7.%8.%9"/>
      <w:lvlJc w:val="left"/>
      <w:pPr>
        <w:ind w:hanging="1584" w:left="1584"/>
      </w:pPr>
      <w:rPr>
        <w:rFonts w:hint="default"/>
      </w:rPr>
    </w:lvl>
  </w:abstractNum>
  <w:abstractNum w15:restartNumberingAfterBreak="0" w:abstractNumId="14">
    <w:nsid w:val="7BCE62D3"/>
    <w:multiLevelType w:val="hybridMultilevel"/>
    <w:tmpl w:val="CA34CDF0"/>
    <w:lvl w:ilvl="0" w:tplc="252A41E2">
      <w:start w:val="1"/>
      <w:numFmt w:val="decimal"/>
      <w:pStyle w:val="Numberedparagraph-EDPB"/>
      <w:lvlText w:val="%1"/>
      <w:lvlJc w:val="left"/>
      <w:pPr>
        <w:ind w:hanging="360" w:left="153"/>
      </w:pPr>
      <w:rPr>
        <w:rFonts w:ascii="Arial" w:cs="Calibri" w:hAnsi="Arial" w:hint="default"/>
        <w:b w:val="0"/>
        <w:bCs w:val="0"/>
        <w:i w:val="0"/>
        <w:iCs w:val="0"/>
        <w:caps w:val="0"/>
        <w:smallCaps w:val="0"/>
        <w:strike w:val="0"/>
        <w:dstrike w:val="0"/>
        <w:outline w:val="0"/>
        <w:shadow w:val="0"/>
        <w:emboss w:val="0"/>
        <w:imprint w:val="0"/>
        <w:vanish w:val="0"/>
        <w:color w:themeColor="text1" w:val="000000"/>
        <w:spacing w:val="0"/>
        <w:kern w:val="0"/>
        <w:position w:val="0"/>
        <w:sz w:val="22"/>
        <w:szCs w:val="22"/>
        <w:u w:val="none"/>
        <w:effect w:val="none"/>
        <w:vertAlign w:val="baseline"/>
        <w14:ligatures w14:val="none"/>
        <w14:numForm w14:val="default"/>
      </w:rPr>
    </w:lvl>
    <w:lvl w:ilvl="1" w:tentative="1" w:tplc="08090019">
      <w:start w:val="1"/>
      <w:numFmt w:val="lowerLetter"/>
      <w:lvlText w:val="%2."/>
      <w:lvlJc w:val="left"/>
      <w:pPr>
        <w:ind w:hanging="360" w:left="873"/>
      </w:pPr>
    </w:lvl>
    <w:lvl w:ilvl="2" w:tentative="1" w:tplc="0809001B">
      <w:start w:val="1"/>
      <w:numFmt w:val="lowerRoman"/>
      <w:lvlText w:val="%3."/>
      <w:lvlJc w:val="right"/>
      <w:pPr>
        <w:ind w:hanging="180" w:left="1593"/>
      </w:pPr>
    </w:lvl>
    <w:lvl w:ilvl="3" w:tentative="1" w:tplc="0809000F">
      <w:start w:val="1"/>
      <w:numFmt w:val="decimal"/>
      <w:lvlText w:val="%4."/>
      <w:lvlJc w:val="left"/>
      <w:pPr>
        <w:ind w:hanging="360" w:left="2313"/>
      </w:pPr>
    </w:lvl>
    <w:lvl w:ilvl="4" w:tentative="1" w:tplc="08090019">
      <w:start w:val="1"/>
      <w:numFmt w:val="lowerLetter"/>
      <w:lvlText w:val="%5."/>
      <w:lvlJc w:val="left"/>
      <w:pPr>
        <w:ind w:hanging="360" w:left="3033"/>
      </w:pPr>
    </w:lvl>
    <w:lvl w:ilvl="5" w:tentative="1" w:tplc="0809001B">
      <w:start w:val="1"/>
      <w:numFmt w:val="lowerRoman"/>
      <w:lvlText w:val="%6."/>
      <w:lvlJc w:val="right"/>
      <w:pPr>
        <w:ind w:hanging="180" w:left="3753"/>
      </w:pPr>
    </w:lvl>
    <w:lvl w:ilvl="6" w:tentative="1" w:tplc="0809000F">
      <w:start w:val="1"/>
      <w:numFmt w:val="decimal"/>
      <w:lvlText w:val="%7."/>
      <w:lvlJc w:val="left"/>
      <w:pPr>
        <w:ind w:hanging="360" w:left="4473"/>
      </w:pPr>
    </w:lvl>
    <w:lvl w:ilvl="7" w:tentative="1" w:tplc="08090019">
      <w:start w:val="1"/>
      <w:numFmt w:val="lowerLetter"/>
      <w:lvlText w:val="%8."/>
      <w:lvlJc w:val="left"/>
      <w:pPr>
        <w:ind w:hanging="360" w:left="5193"/>
      </w:pPr>
    </w:lvl>
    <w:lvl w:ilvl="8" w:tentative="1" w:tplc="0809001B">
      <w:start w:val="1"/>
      <w:numFmt w:val="lowerRoman"/>
      <w:lvlText w:val="%9."/>
      <w:lvlJc w:val="right"/>
      <w:pPr>
        <w:ind w:hanging="180" w:left="5913"/>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202">
    <w:nsid w:val="0FA12B3C"/>
    <w:multiLevelType w:val="multiLevel"/>
    <w:tmpl w:val="04090029"/>
    <w:lvl w:ilvl="0">
      <w:start w:val="1"/>
      <w:numFmt w:val="decimal"/>
      <w:lvlText w:val="%1"/>
      <w:lvlJc w:val="left"/>
    </w:lvl>
    <w:lvl w:ilvl="1">
      <w:start w:val="1"/>
      <w:numFmt w:val="decimal"/>
      <w:lvlText w:val="%1.%2"/>
      <w:lvlJc w:val="left"/>
    </w:lvl>
    <w:lvl w:ilvl="2">
      <w:start w:val="1"/>
      <w:numFmt w:val="lowerLetter"/>
      <w:lvlText w:val="%1.%2.%3"/>
      <w:lvlJc w:val="left"/>
    </w:lvl>
  </w:abstractNum>
  <w:num w16cid:durableId="1203324735" w:numId="1">
    <w:abstractNumId w:val="11"/>
  </w:num>
  <w:num w16cid:durableId="828400307" w:numId="2">
    <w:abstractNumId w:val="6"/>
  </w:num>
  <w:num w16cid:durableId="690375217" w:numId="3">
    <w:abstractNumId w:val="14"/>
  </w:num>
  <w:num w16cid:durableId="1944413349" w:numId="4">
    <w:abstractNumId w:val="8"/>
  </w:num>
  <w:num w16cid:durableId="1312566294" w:numId="5">
    <w:abstractNumId w:val="0"/>
  </w:num>
  <w:num w16cid:durableId="1850485742" w:numId="6">
    <w:abstractNumId w:val="10"/>
  </w:num>
  <w:num w16cid:durableId="2009207441" w:numId="7">
    <w:abstractNumId w:val="13"/>
  </w:num>
  <w:num w16cid:durableId="1497963150" w:numId="8">
    <w:abstractNumId w:val="9"/>
  </w:num>
  <w:num w16cid:durableId="328751044" w:numId="9">
    <w:abstractNumId w:val="2"/>
  </w:num>
  <w:num w16cid:durableId="339896839" w:numId="10">
    <w:abstractNumId w:val="5"/>
  </w:num>
  <w:num w16cid:durableId="40328966" w:numId="11">
    <w:abstractNumId w:val="7"/>
  </w:num>
  <w:num w16cid:durableId="1481845719" w:numId="12">
    <w:abstractNumId w:val="4"/>
  </w:num>
  <w:num w16cid:durableId="590969864" w:numId="13">
    <w:abstractNumId w:val="3"/>
  </w:num>
  <w:num w16cid:durableId="626934513" w:numId="14">
    <w:abstractNumId w:val="12"/>
  </w:num>
  <w:num w16cid:durableId="751319523" w:numId="15">
    <w:abstractNumId w:val="1"/>
  </w: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2"/>
    <w:lvlOverride w:ilvl="0">
      <w:startOverride w:val="1"/>
    </w:lvlOverride>
    <w:lvlOverride w:ilvl="1">
      <w:startOverride w:val="1"/>
    </w:lvlOverride>
    <w:lvlOverride w:ilvl="2">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removePersonalInformation/>
  <w:removeDateAndTime/>
  <w:displayBackgroundShape/>
  <w:embedSystemFonts/>
  <w:activeWritingStyle w:appName="MSWord" w:checkStyle="0" w:dllVersion="6" w:lang="pt-PT" w:nlCheck="1" w:vendorID="64"/>
  <w:proofState w:grammar="clean" w:spelling="clean"/>
  <w:stylePaneFormatFilter w:allStyles="1" w:alternateStyleNames="1" w:clearFormatting="1" w:customStyles="0" w:directFormattingOnNumbering="0" w:directFormattingOnParagraphs="0" w:directFormattingOnRuns="0" w:directFormattingOnTables="0" w:headingStyles="1" w:latentStyles="0" w:numberingStyles="0" w:stylesInUse="0" w:tableStyles="0" w:top3HeadingStyles="0" w:val="9021" w:visibleStyles="0"/>
  <w:doNotTrackMoves/>
  <w:styleLockTheme/>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283"/>
    <w:rsid w:val="00000E9A"/>
    <w:rsid w:val="00002024"/>
    <w:rsid w:val="00007177"/>
    <w:rsid w:val="00010BC6"/>
    <w:rsid w:val="00011B27"/>
    <w:rsid w:val="00054C03"/>
    <w:rsid w:val="00081837"/>
    <w:rsid w:val="0008690C"/>
    <w:rsid w:val="000B0171"/>
    <w:rsid w:val="000E559D"/>
    <w:rsid w:val="000E6D81"/>
    <w:rsid w:val="000F3E09"/>
    <w:rsid w:val="001427A8"/>
    <w:rsid w:val="00151147"/>
    <w:rsid w:val="0016334A"/>
    <w:rsid w:val="00167CE9"/>
    <w:rsid w:val="00177355"/>
    <w:rsid w:val="0018123B"/>
    <w:rsid w:val="00185008"/>
    <w:rsid w:val="001A0C5A"/>
    <w:rsid w:val="001B06D2"/>
    <w:rsid w:val="001B469B"/>
    <w:rsid w:val="001C1D3C"/>
    <w:rsid w:val="001C2895"/>
    <w:rsid w:val="001C712E"/>
    <w:rsid w:val="001E5742"/>
    <w:rsid w:val="001F1175"/>
    <w:rsid w:val="00203944"/>
    <w:rsid w:val="00217CED"/>
    <w:rsid w:val="00217E28"/>
    <w:rsid w:val="002241BE"/>
    <w:rsid w:val="002321F7"/>
    <w:rsid w:val="00252D30"/>
    <w:rsid w:val="0025330E"/>
    <w:rsid w:val="0027362F"/>
    <w:rsid w:val="00274087"/>
    <w:rsid w:val="00291EF2"/>
    <w:rsid w:val="00294BAB"/>
    <w:rsid w:val="002A2AB8"/>
    <w:rsid w:val="002A477B"/>
    <w:rsid w:val="002A6295"/>
    <w:rsid w:val="002E0587"/>
    <w:rsid w:val="002E2867"/>
    <w:rsid w:val="00301F1D"/>
    <w:rsid w:val="00302B85"/>
    <w:rsid w:val="00305F53"/>
    <w:rsid w:val="0030610D"/>
    <w:rsid w:val="00341F27"/>
    <w:rsid w:val="00355B08"/>
    <w:rsid w:val="00366934"/>
    <w:rsid w:val="00380F75"/>
    <w:rsid w:val="00390FD4"/>
    <w:rsid w:val="003B1F77"/>
    <w:rsid w:val="003D6297"/>
    <w:rsid w:val="00400936"/>
    <w:rsid w:val="004100F5"/>
    <w:rsid w:val="004201CA"/>
    <w:rsid w:val="00421180"/>
    <w:rsid w:val="0042614C"/>
    <w:rsid w:val="004430C1"/>
    <w:rsid w:val="00446B6F"/>
    <w:rsid w:val="00446C23"/>
    <w:rsid w:val="004674BC"/>
    <w:rsid w:val="004722AF"/>
    <w:rsid w:val="0047378B"/>
    <w:rsid w:val="004A2F30"/>
    <w:rsid w:val="004B4264"/>
    <w:rsid w:val="004B5C8E"/>
    <w:rsid w:val="004C52C4"/>
    <w:rsid w:val="004E12AC"/>
    <w:rsid w:val="004F1A2A"/>
    <w:rsid w:val="0051363B"/>
    <w:rsid w:val="0053562E"/>
    <w:rsid w:val="00557DA5"/>
    <w:rsid w:val="00575CEB"/>
    <w:rsid w:val="005762E3"/>
    <w:rsid w:val="00590876"/>
    <w:rsid w:val="00595B77"/>
    <w:rsid w:val="00595B8E"/>
    <w:rsid w:val="006012A1"/>
    <w:rsid w:val="00602D85"/>
    <w:rsid w:val="00603AE3"/>
    <w:rsid w:val="00607C02"/>
    <w:rsid w:val="00637169"/>
    <w:rsid w:val="0065506B"/>
    <w:rsid w:val="00687014"/>
    <w:rsid w:val="00690B21"/>
    <w:rsid w:val="00692143"/>
    <w:rsid w:val="006C06CD"/>
    <w:rsid w:val="006C1F81"/>
    <w:rsid w:val="006D0B5F"/>
    <w:rsid w:val="006D0DFC"/>
    <w:rsid w:val="00706ECB"/>
    <w:rsid w:val="00721333"/>
    <w:rsid w:val="00722002"/>
    <w:rsid w:val="00737878"/>
    <w:rsid w:val="0075187D"/>
    <w:rsid w:val="00774C30"/>
    <w:rsid w:val="00781FF4"/>
    <w:rsid w:val="00782DFE"/>
    <w:rsid w:val="00791A24"/>
    <w:rsid w:val="007974B5"/>
    <w:rsid w:val="007A17E8"/>
    <w:rsid w:val="007B3509"/>
    <w:rsid w:val="007B75F9"/>
    <w:rsid w:val="00801461"/>
    <w:rsid w:val="008047F7"/>
    <w:rsid w:val="00820529"/>
    <w:rsid w:val="00824179"/>
    <w:rsid w:val="00824272"/>
    <w:rsid w:val="00852449"/>
    <w:rsid w:val="00863C60"/>
    <w:rsid w:val="008765BE"/>
    <w:rsid w:val="00892AEB"/>
    <w:rsid w:val="00894C8D"/>
    <w:rsid w:val="008B61AE"/>
    <w:rsid w:val="008B6AE1"/>
    <w:rsid w:val="008C11D8"/>
    <w:rsid w:val="008E3361"/>
    <w:rsid w:val="008E6321"/>
    <w:rsid w:val="009126AE"/>
    <w:rsid w:val="00924240"/>
    <w:rsid w:val="00952F77"/>
    <w:rsid w:val="00957EE6"/>
    <w:rsid w:val="00964490"/>
    <w:rsid w:val="009A25EE"/>
    <w:rsid w:val="009B0283"/>
    <w:rsid w:val="009C396C"/>
    <w:rsid w:val="00A04D9C"/>
    <w:rsid w:val="00A15A8D"/>
    <w:rsid w:val="00A41BC3"/>
    <w:rsid w:val="00A46A52"/>
    <w:rsid w:val="00A5238F"/>
    <w:rsid w:val="00A73F8F"/>
    <w:rsid w:val="00A81F5A"/>
    <w:rsid w:val="00A85568"/>
    <w:rsid w:val="00AA2554"/>
    <w:rsid w:val="00AC3E0B"/>
    <w:rsid w:val="00AC66C9"/>
    <w:rsid w:val="00AD4D8C"/>
    <w:rsid w:val="00AE3BAD"/>
    <w:rsid w:val="00B13330"/>
    <w:rsid w:val="00B247DE"/>
    <w:rsid w:val="00B3739D"/>
    <w:rsid w:val="00B66BB9"/>
    <w:rsid w:val="00B76056"/>
    <w:rsid w:val="00BB6F65"/>
    <w:rsid w:val="00BC69A7"/>
    <w:rsid w:val="00BF5459"/>
    <w:rsid w:val="00C11A66"/>
    <w:rsid w:val="00C1546D"/>
    <w:rsid w:val="00C25EF8"/>
    <w:rsid w:val="00C3303D"/>
    <w:rsid w:val="00C5252A"/>
    <w:rsid w:val="00C56806"/>
    <w:rsid w:val="00C61CAF"/>
    <w:rsid w:val="00C91E23"/>
    <w:rsid w:val="00CA15A5"/>
    <w:rsid w:val="00CA568F"/>
    <w:rsid w:val="00CC256C"/>
    <w:rsid w:val="00CD1339"/>
    <w:rsid w:val="00CE2D25"/>
    <w:rsid w:val="00CF0C6D"/>
    <w:rsid w:val="00D210AB"/>
    <w:rsid w:val="00D217B5"/>
    <w:rsid w:val="00D31D4E"/>
    <w:rsid w:val="00D36A46"/>
    <w:rsid w:val="00D4049E"/>
    <w:rsid w:val="00D45A82"/>
    <w:rsid w:val="00D55ED2"/>
    <w:rsid w:val="00D800FE"/>
    <w:rsid w:val="00D87FDF"/>
    <w:rsid w:val="00DD52B6"/>
    <w:rsid w:val="00DD54AA"/>
    <w:rsid w:val="00DE51F4"/>
    <w:rsid w:val="00DE5596"/>
    <w:rsid w:val="00E232DD"/>
    <w:rsid w:val="00E2500E"/>
    <w:rsid w:val="00E41CC7"/>
    <w:rsid w:val="00E45413"/>
    <w:rsid w:val="00E55FCA"/>
    <w:rsid w:val="00E62F5F"/>
    <w:rsid w:val="00E67185"/>
    <w:rsid w:val="00E80001"/>
    <w:rsid w:val="00EB5B9A"/>
    <w:rsid w:val="00EC5D33"/>
    <w:rsid w:val="00ED44C1"/>
    <w:rsid w:val="00EF1447"/>
    <w:rsid w:val="00EF41F8"/>
    <w:rsid w:val="00F07027"/>
    <w:rsid w:val="00F23E8E"/>
    <w:rsid w:val="00F36255"/>
    <w:rsid w:val="00F6368A"/>
    <w:rsid w:val="00F664EA"/>
    <w:rsid w:val="00F8282F"/>
    <w:rsid w:val="00F97F1B"/>
    <w:rsid w:val="00FB2035"/>
    <w:rsid w:val="00FD0960"/>
    <w:rsid w:val="00FD6634"/>
    <w:rsid w:val="00FE1309"/>
    <w:rsid w:val="00FE33F1"/>
    <w:rsid w:val="00FF4D52"/>
  </w:rsids>
  <w:themeFontLang w:val="en-GB"/>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en-US" w:val="en-GB"/>
      </w:rPr>
    </w:rPrDefault>
    <w:pPrDefault>
      <w:pPr>
        <w:spacing w:after="200" w:line="28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toc 1" w:qFormat="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39"/>
    <w:lsdException w:name="toc 6" w:uiPriority="39"/>
    <w:lsdException w:name="toc 7" w:uiPriority="39"/>
    <w:lsdException w:name="toc 8" w:uiPriority="39"/>
    <w:lsdException w:name="toc 9" w:uiPriority="39"/>
    <w:lsdException w:name="footnote text" w:qFormat="1" w:semiHidden="1" w:unhideWhenUsed="1"/>
    <w:lsdException w:name="annotation text" w:semiHidden="1" w:unhideWhenUsed="1"/>
    <w:lsdException w:name="header" w:semiHidden="1" w:unhideWhenUsed="1"/>
    <w:lsdException w:name="footer" w:semiHidden="1" w:unhideWhenUsed="1"/>
    <w:lsdException w:name="caption" w:qFormat="1" w:semiHidden="1" w:uiPriority="35" w:unhideWhenUsed="1"/>
    <w:lsdException w:name="footnote reference" w:semiHidden="1" w:unhideWhenUsed="1"/>
    <w:lsdException w:name="annotation reference" w:semiHidden="1" w:unhideWhenUsed="1"/>
    <w:lsdException w:name="Title" w:qFormat="1" w:uiPriority="10"/>
    <w:lsdException w:name="Default Paragraph Font" w:semiHidden="1" w:uiPriority="1" w:unhideWhenUsed="1"/>
    <w:lsdException w:name="Subtitle" w:semiHidden="1" w:uiPriority="11" w:unhideWhenUsed="1"/>
    <w:lsdException w:name="Hyperlink" w:qFormat="1" w:semiHidden="1" w:unhideWhenUsed="1"/>
    <w:lsdException w:name="Strong" w:qFormat="1" w:uiPriority="22"/>
    <w:lsdException w:name="Emphasis" w:uiPriority="20"/>
    <w:lsdException w:name="HTML Top of Form" w:semiHidden="1" w:unhideWhenUsed="1"/>
    <w:lsdException w:name="HTML Bottom of Form"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qFormat="1" w:uiPriority="21"/>
    <w:lsdException w:name="Subtle Reference" w:uiPriority="31"/>
    <w:lsdException w:name="Intense Reference" w:uiPriority="32"/>
    <w:lsdException w:name="Book Title" w:uiPriority="33"/>
    <w:lsdException w:name="Bibliography" w:uiPriority="37"/>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aliases w:val="Normal paragraph – EDPB"/>
    <w:uiPriority w:val="3"/>
    <w:qFormat/>
    <w:rsid w:val="008E6321"/>
    <w:pPr>
      <w:spacing w:after="120" w:before="120" w:line="259" w:lineRule="auto"/>
      <w:jc w:val="both"/>
    </w:pPr>
    <w:rPr>
      <w:rFonts w:ascii="Glory" w:cs="Calibri" w:eastAsia="Times New Roman" w:hAnsi="Glory"/>
      <w:color w:themeColor="text1" w:val="000000"/>
      <w:sz w:val="22"/>
      <w:szCs w:val="24"/>
    </w:rPr>
  </w:style>
  <w:style w:styleId="Heading1" w:type="paragraph">
    <w:name w:val="heading 1"/>
    <w:aliases w:val="EDPB H1,EDPB heading 1"/>
    <w:next w:val="Normal"/>
    <w:link w:val="Heading1Char"/>
    <w:autoRedefine/>
    <w:uiPriority w:val="9"/>
    <w:qFormat/>
    <w:rsid w:val="00002024"/>
    <w:pPr>
      <w:numPr>
        <w:numId w:val="7"/>
      </w:numPr>
      <w:spacing w:before="360"/>
      <w:outlineLvl w:val="0"/>
    </w:pPr>
    <w:rPr>
      <w:rFonts w:asciiTheme="majorHAnsi" w:cstheme="majorBidi" w:eastAsiaTheme="majorEastAsia" w:hAnsiTheme="majorHAnsi"/>
      <w:b/>
      <w:color w:themeColor="accent1" w:val="0A105D"/>
      <w:spacing w:val="10"/>
      <w:sz w:val="32"/>
      <w:szCs w:val="64"/>
    </w:rPr>
  </w:style>
  <w:style w:styleId="Heading2" w:type="paragraph">
    <w:name w:val="heading 2"/>
    <w:aliases w:val="EDPB H2,EDPB Heading 2"/>
    <w:next w:val="Normal"/>
    <w:link w:val="Heading2Char"/>
    <w:autoRedefine/>
    <w:uiPriority w:val="9"/>
    <w:qFormat/>
    <w:rsid w:val="00002024"/>
    <w:pPr>
      <w:numPr>
        <w:ilvl w:val="1"/>
        <w:numId w:val="0"/>
      </w:numPr>
      <w:spacing w:before="200"/>
      <w:outlineLvl w:val="1"/>
    </w:pPr>
    <w:rPr>
      <w:rFonts w:asciiTheme="majorHAnsi" w:cstheme="majorBidi" w:eastAsiaTheme="majorEastAsia" w:hAnsiTheme="majorHAnsi"/>
      <w:b/>
      <w:color w:themeColor="accent1" w:val="0A105D"/>
      <w:spacing w:val="10"/>
      <w:sz w:val="28"/>
      <w:szCs w:val="64"/>
    </w:rPr>
  </w:style>
  <w:style w:styleId="Heading3" w:type="paragraph">
    <w:name w:val="heading 3"/>
    <w:aliases w:val="EDPB H3,EDPB Heading 3"/>
    <w:next w:val="Normal"/>
    <w:link w:val="Heading3Char"/>
    <w:uiPriority w:val="9"/>
    <w:qFormat/>
    <w:rsid w:val="00002024"/>
    <w:pPr>
      <w:numPr>
        <w:ilvl w:val="2"/>
        <w:numId w:val="0"/>
      </w:numPr>
      <w:outlineLvl w:val="2"/>
    </w:pPr>
    <w:rPr>
      <w:rFonts w:asciiTheme="majorHAnsi" w:cstheme="majorBidi" w:eastAsiaTheme="majorEastAsia" w:hAnsiTheme="majorHAnsi"/>
      <w:b/>
      <w:color w:themeColor="accent1" w:val="0A105D"/>
      <w:spacing w:val="10"/>
      <w:sz w:val="24"/>
      <w:szCs w:val="64"/>
    </w:rPr>
  </w:style>
  <w:style w:styleId="Heading4" w:type="paragraph">
    <w:name w:val="heading 4"/>
    <w:aliases w:val="EDPB H4,EDPB Heading 4"/>
    <w:next w:val="Normal"/>
    <w:link w:val="Heading4Char"/>
    <w:autoRedefine/>
    <w:uiPriority w:val="9"/>
    <w:qFormat/>
    <w:rsid w:val="00002024"/>
    <w:pPr>
      <w:spacing w:before="120"/>
      <w:outlineLvl w:val="3"/>
    </w:pPr>
    <w:rPr>
      <w:rFonts w:asciiTheme="majorHAnsi" w:cstheme="majorBidi" w:eastAsiaTheme="majorEastAsia" w:hAnsiTheme="majorHAnsi"/>
      <w:b/>
      <w:color w:themeColor="accent2" w:val="08149C"/>
      <w:spacing w:val="10"/>
      <w:sz w:val="22"/>
      <w:szCs w:val="64"/>
    </w:rPr>
  </w:style>
  <w:style w:styleId="Heading5" w:type="paragraph">
    <w:name w:val="heading 5"/>
    <w:aliases w:val="EDPB H5"/>
    <w:next w:val="Normal"/>
    <w:link w:val="Heading5Char"/>
    <w:autoRedefine/>
    <w:uiPriority w:val="9"/>
    <w:qFormat/>
    <w:rsid w:val="00002024"/>
    <w:pPr>
      <w:spacing w:before="120"/>
      <w:outlineLvl w:val="4"/>
    </w:pPr>
    <w:rPr>
      <w:rFonts w:asciiTheme="majorHAnsi" w:cstheme="majorBidi" w:eastAsiaTheme="majorEastAsia" w:hAnsiTheme="majorHAnsi"/>
      <w:b/>
      <w:spacing w:val="10"/>
      <w:sz w:val="22"/>
      <w:szCs w:val="64"/>
    </w:rPr>
  </w:style>
  <w:style w:styleId="Heading6" w:type="paragraph">
    <w:name w:val="heading 6"/>
    <w:basedOn w:val="Normal"/>
    <w:next w:val="Normal"/>
    <w:link w:val="Heading6Char"/>
    <w:uiPriority w:val="9"/>
    <w:unhideWhenUsed/>
    <w:qFormat/>
    <w:rsid w:val="00824179"/>
    <w:pPr>
      <w:keepNext/>
      <w:numPr>
        <w:ilvl w:val="5"/>
        <w:numId w:val="7"/>
      </w:numPr>
      <w:spacing w:after="0" w:before="40"/>
      <w:outlineLvl w:val="5"/>
    </w:pPr>
    <w:rPr>
      <w:rFonts w:asciiTheme="majorHAnsi" w:cstheme="majorBidi" w:eastAsiaTheme="majorEastAsia" w:hAnsiTheme="majorHAnsi"/>
      <w:color w:themeColor="accent6" w:val="0A105D"/>
      <w:sz w:val="21"/>
      <w:szCs w:val="21"/>
    </w:rPr>
  </w:style>
  <w:style w:styleId="Heading7" w:type="paragraph">
    <w:name w:val="heading 7"/>
    <w:basedOn w:val="Normal"/>
    <w:next w:val="Normal"/>
    <w:link w:val="Heading7Char"/>
    <w:uiPriority w:val="9"/>
    <w:unhideWhenUsed/>
    <w:qFormat/>
    <w:rsid w:val="00824179"/>
    <w:pPr>
      <w:keepNext/>
      <w:numPr>
        <w:ilvl w:val="6"/>
        <w:numId w:val="7"/>
      </w:numPr>
      <w:spacing w:after="0" w:before="40"/>
      <w:outlineLvl w:val="6"/>
    </w:pPr>
    <w:rPr>
      <w:rFonts w:asciiTheme="majorHAnsi" w:cstheme="majorBidi" w:eastAsiaTheme="majorEastAsia" w:hAnsiTheme="majorHAnsi"/>
      <w:b/>
      <w:bCs/>
      <w:color w:themeColor="accent6" w:val="0A105D"/>
      <w:sz w:val="21"/>
      <w:szCs w:val="21"/>
    </w:rPr>
  </w:style>
  <w:style w:styleId="Heading8" w:type="paragraph">
    <w:name w:val="heading 8"/>
    <w:basedOn w:val="Normal"/>
    <w:next w:val="Normal"/>
    <w:link w:val="Heading8Char"/>
    <w:uiPriority w:val="9"/>
    <w:unhideWhenUsed/>
    <w:qFormat/>
    <w:rsid w:val="00824179"/>
    <w:pPr>
      <w:keepNext/>
      <w:numPr>
        <w:ilvl w:val="7"/>
        <w:numId w:val="7"/>
      </w:numPr>
      <w:spacing w:after="0" w:before="40"/>
      <w:outlineLvl w:val="7"/>
    </w:pPr>
    <w:rPr>
      <w:rFonts w:asciiTheme="majorHAnsi" w:cstheme="majorBidi" w:eastAsiaTheme="majorEastAsia" w:hAnsiTheme="majorHAnsi"/>
      <w:b/>
      <w:bCs/>
      <w:i/>
      <w:iCs/>
      <w:color w:themeColor="accent6" w:val="0A105D"/>
      <w:sz w:val="20"/>
      <w:szCs w:val="20"/>
    </w:rPr>
  </w:style>
  <w:style w:styleId="Heading9" w:type="paragraph">
    <w:name w:val="heading 9"/>
    <w:basedOn w:val="Normal"/>
    <w:next w:val="Normal"/>
    <w:link w:val="Heading9Char"/>
    <w:uiPriority w:val="9"/>
    <w:unhideWhenUsed/>
    <w:qFormat/>
    <w:rsid w:val="00824179"/>
    <w:pPr>
      <w:keepNext/>
      <w:numPr>
        <w:ilvl w:val="8"/>
        <w:numId w:val="7"/>
      </w:numPr>
      <w:spacing w:after="0" w:before="40"/>
      <w:outlineLvl w:val="8"/>
    </w:pPr>
    <w:rPr>
      <w:rFonts w:asciiTheme="majorHAnsi" w:cstheme="majorBidi" w:eastAsiaTheme="majorEastAsia" w:hAnsiTheme="majorHAnsi"/>
      <w:i/>
      <w:iCs/>
      <w:color w:themeColor="accent6" w:val="0A105D"/>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aliases w:val="EDPB H1 Char,EDPB heading 1 Char"/>
    <w:basedOn w:val="DefaultParagraphFont"/>
    <w:link w:val="Heading1"/>
    <w:uiPriority w:val="9"/>
    <w:rsid w:val="00002024"/>
    <w:rPr>
      <w:rFonts w:asciiTheme="majorHAnsi" w:cstheme="majorBidi" w:eastAsiaTheme="majorEastAsia" w:hAnsiTheme="majorHAnsi"/>
      <w:b/>
      <w:color w:themeColor="accent1" w:val="0A105D"/>
      <w:spacing w:val="10"/>
      <w:sz w:val="32"/>
      <w:szCs w:val="64"/>
    </w:rPr>
  </w:style>
  <w:style w:customStyle="1" w:styleId="Heading2Char" w:type="character">
    <w:name w:val="Heading 2 Char"/>
    <w:aliases w:val="EDPB H2 Char,EDPB Heading 2 Char"/>
    <w:basedOn w:val="DefaultParagraphFont"/>
    <w:link w:val="Heading2"/>
    <w:uiPriority w:val="9"/>
    <w:rsid w:val="00002024"/>
    <w:rPr>
      <w:rFonts w:asciiTheme="majorHAnsi" w:cstheme="majorBidi" w:eastAsiaTheme="majorEastAsia" w:hAnsiTheme="majorHAnsi"/>
      <w:b/>
      <w:color w:themeColor="accent1" w:val="0A105D"/>
      <w:spacing w:val="10"/>
      <w:sz w:val="28"/>
      <w:szCs w:val="64"/>
    </w:rPr>
  </w:style>
  <w:style w:customStyle="1" w:styleId="Heading3Char" w:type="character">
    <w:name w:val="Heading 3 Char"/>
    <w:aliases w:val="EDPB H3 Char,EDPB Heading 3 Char"/>
    <w:basedOn w:val="DefaultParagraphFont"/>
    <w:link w:val="Heading3"/>
    <w:uiPriority w:val="9"/>
    <w:rsid w:val="00002024"/>
    <w:rPr>
      <w:rFonts w:asciiTheme="majorHAnsi" w:cstheme="majorBidi" w:eastAsiaTheme="majorEastAsia" w:hAnsiTheme="majorHAnsi"/>
      <w:b/>
      <w:color w:themeColor="accent1" w:val="0A105D"/>
      <w:spacing w:val="10"/>
      <w:sz w:val="24"/>
      <w:szCs w:val="64"/>
    </w:rPr>
  </w:style>
  <w:style w:customStyle="1" w:styleId="Heading4Char" w:type="character">
    <w:name w:val="Heading 4 Char"/>
    <w:aliases w:val="EDPB H4 Char,EDPB Heading 4 Char"/>
    <w:basedOn w:val="DefaultParagraphFont"/>
    <w:link w:val="Heading4"/>
    <w:uiPriority w:val="9"/>
    <w:rsid w:val="00002024"/>
    <w:rPr>
      <w:rFonts w:asciiTheme="majorHAnsi" w:cstheme="majorBidi" w:eastAsiaTheme="majorEastAsia" w:hAnsiTheme="majorHAnsi"/>
      <w:b/>
      <w:color w:themeColor="accent2" w:val="08149C"/>
      <w:spacing w:val="10"/>
      <w:sz w:val="22"/>
      <w:szCs w:val="64"/>
    </w:rPr>
  </w:style>
  <w:style w:customStyle="1" w:styleId="Heading5Char" w:type="character">
    <w:name w:val="Heading 5 Char"/>
    <w:aliases w:val="EDPB H5 Char"/>
    <w:basedOn w:val="DefaultParagraphFont"/>
    <w:link w:val="Heading5"/>
    <w:uiPriority w:val="9"/>
    <w:rsid w:val="00002024"/>
    <w:rPr>
      <w:rFonts w:asciiTheme="majorHAnsi" w:cstheme="majorBidi" w:eastAsiaTheme="majorEastAsia" w:hAnsiTheme="majorHAnsi"/>
      <w:b/>
      <w:spacing w:val="10"/>
      <w:sz w:val="22"/>
      <w:szCs w:val="64"/>
    </w:rPr>
  </w:style>
  <w:style w:customStyle="1" w:styleId="Heading6Char" w:type="character">
    <w:name w:val="Heading 6 Char"/>
    <w:basedOn w:val="DefaultParagraphFont"/>
    <w:link w:val="Heading6"/>
    <w:uiPriority w:val="9"/>
    <w:rsid w:val="007B75F9"/>
    <w:rPr>
      <w:rFonts w:asciiTheme="majorHAnsi" w:cstheme="majorBidi" w:eastAsiaTheme="majorEastAsia" w:hAnsiTheme="majorHAnsi"/>
      <w:color w:themeColor="accent6" w:val="0A105D"/>
    </w:rPr>
  </w:style>
  <w:style w:customStyle="1" w:styleId="Heading7Char" w:type="character">
    <w:name w:val="Heading 7 Char"/>
    <w:basedOn w:val="DefaultParagraphFont"/>
    <w:link w:val="Heading7"/>
    <w:uiPriority w:val="9"/>
    <w:rsid w:val="007B75F9"/>
    <w:rPr>
      <w:rFonts w:asciiTheme="majorHAnsi" w:cstheme="majorBidi" w:eastAsiaTheme="majorEastAsia" w:hAnsiTheme="majorHAnsi"/>
      <w:b/>
      <w:bCs/>
      <w:color w:themeColor="accent6" w:val="0A105D"/>
    </w:rPr>
  </w:style>
  <w:style w:customStyle="1" w:styleId="Heading8Char" w:type="character">
    <w:name w:val="Heading 8 Char"/>
    <w:basedOn w:val="DefaultParagraphFont"/>
    <w:link w:val="Heading8"/>
    <w:uiPriority w:val="9"/>
    <w:rsid w:val="007B75F9"/>
    <w:rPr>
      <w:rFonts w:asciiTheme="majorHAnsi" w:cstheme="majorBidi" w:eastAsiaTheme="majorEastAsia" w:hAnsiTheme="majorHAnsi"/>
      <w:b/>
      <w:bCs/>
      <w:i/>
      <w:iCs/>
      <w:color w:themeColor="accent6" w:val="0A105D"/>
      <w:sz w:val="20"/>
      <w:szCs w:val="20"/>
    </w:rPr>
  </w:style>
  <w:style w:customStyle="1" w:styleId="Heading9Char" w:type="character">
    <w:name w:val="Heading 9 Char"/>
    <w:basedOn w:val="DefaultParagraphFont"/>
    <w:link w:val="Heading9"/>
    <w:uiPriority w:val="9"/>
    <w:rsid w:val="007B75F9"/>
    <w:rPr>
      <w:rFonts w:asciiTheme="majorHAnsi" w:cstheme="majorBidi" w:eastAsiaTheme="majorEastAsia" w:hAnsiTheme="majorHAnsi"/>
      <w:i/>
      <w:iCs/>
      <w:color w:themeColor="accent6" w:val="0A105D"/>
      <w:sz w:val="20"/>
      <w:szCs w:val="20"/>
    </w:rPr>
  </w:style>
  <w:style w:styleId="Title" w:type="paragraph">
    <w:name w:val="Title"/>
    <w:aliases w:val="Title EDPB doc"/>
    <w:basedOn w:val="Normal"/>
    <w:next w:val="Normal"/>
    <w:link w:val="TitleChar"/>
    <w:autoRedefine/>
    <w:uiPriority w:val="10"/>
    <w:qFormat/>
    <w:rsid w:val="00557DA5"/>
    <w:pPr>
      <w:spacing w:after="840" w:before="720" w:line="240" w:lineRule="auto"/>
      <w:ind w:left="227" w:right="227"/>
      <w:contextualSpacing/>
      <w:jc w:val="center"/>
      <w:outlineLvl w:val="0"/>
    </w:pPr>
    <w:rPr>
      <w:rFonts w:asciiTheme="majorHAnsi" w:cstheme="majorBidi" w:eastAsiaTheme="majorEastAsia" w:hAnsiTheme="majorHAnsi"/>
      <w:b/>
      <w:color w:val="002060"/>
      <w:spacing w:val="6"/>
      <w:sz w:val="40"/>
      <w:szCs w:val="64"/>
    </w:rPr>
  </w:style>
  <w:style w:customStyle="1" w:styleId="TitleChar" w:type="character">
    <w:name w:val="Title Char"/>
    <w:aliases w:val="Title EDPB doc Char"/>
    <w:basedOn w:val="DefaultParagraphFont"/>
    <w:link w:val="Title"/>
    <w:uiPriority w:val="10"/>
    <w:rsid w:val="00557DA5"/>
    <w:rPr>
      <w:rFonts w:asciiTheme="majorHAnsi" w:cstheme="majorBidi" w:eastAsiaTheme="majorEastAsia" w:hAnsiTheme="majorHAnsi"/>
      <w:b/>
      <w:color w:val="002060"/>
      <w:spacing w:val="6"/>
      <w:sz w:val="40"/>
      <w:szCs w:val="64"/>
    </w:rPr>
  </w:style>
  <w:style w:customStyle="1" w:styleId="Subtitle-EDPB" w:type="paragraph">
    <w:name w:val="Subtitle - EDPB"/>
    <w:next w:val="Normal"/>
    <w:autoRedefine/>
    <w:uiPriority w:val="1"/>
    <w:qFormat/>
    <w:rsid w:val="00557DA5"/>
    <w:rPr>
      <w:rFonts w:asciiTheme="majorHAnsi" w:cstheme="majorBidi" w:eastAsiaTheme="majorEastAsia" w:hAnsiTheme="majorHAnsi"/>
      <w:b/>
      <w:color w:val="002060"/>
      <w:spacing w:val="10"/>
      <w:sz w:val="32"/>
      <w:szCs w:val="64"/>
    </w:rPr>
  </w:style>
  <w:style w:customStyle="1" w:styleId="Subtitle2-EDPB" w:type="paragraph">
    <w:name w:val="Subtitle 2-EDPB"/>
    <w:next w:val="Normal"/>
    <w:autoRedefine/>
    <w:uiPriority w:val="1"/>
    <w:rsid w:val="000E559D"/>
    <w:rPr>
      <w:rFonts w:cs="Calibri" w:eastAsia="Times New Roman"/>
      <w:b/>
      <w:color w:themeColor="accent3" w:val="0A105D"/>
      <w:spacing w:val="8"/>
      <w:sz w:val="32"/>
      <w:szCs w:val="24"/>
    </w:rPr>
  </w:style>
  <w:style w:styleId="Strong" w:type="character">
    <w:name w:val="Strong"/>
    <w:aliases w:val="Strong - EDPB"/>
    <w:basedOn w:val="DefaultParagraphFont"/>
    <w:uiPriority w:val="22"/>
    <w:qFormat/>
    <w:rsid w:val="002A6295"/>
    <w:rPr>
      <w:rFonts w:ascii="Glory" w:hAnsi="Glory"/>
      <w:b/>
      <w:bCs/>
      <w:color w:themeColor="text1" w:val="000000"/>
      <w:sz w:val="22"/>
      <w:szCs w:val="22"/>
    </w:rPr>
  </w:style>
  <w:style w:styleId="Emphasis" w:type="character">
    <w:name w:val="Emphasis"/>
    <w:basedOn w:val="DefaultParagraphFont"/>
    <w:uiPriority w:val="2"/>
    <w:semiHidden/>
    <w:rsid w:val="00595B77"/>
    <w:rPr>
      <w:i/>
      <w:iCs/>
      <w:color w:themeColor="accent6" w:val="0A105D"/>
    </w:rPr>
  </w:style>
  <w:style w:styleId="NoSpacing" w:type="paragraph">
    <w:name w:val="No Spacing"/>
    <w:link w:val="NoSpacingChar"/>
    <w:uiPriority w:val="1"/>
    <w:unhideWhenUsed/>
    <w:qFormat/>
    <w:rsid w:val="00824179"/>
    <w:pPr>
      <w:spacing w:after="0" w:line="240" w:lineRule="auto"/>
    </w:pPr>
  </w:style>
  <w:style w:styleId="ListParagraph" w:type="paragraph">
    <w:name w:val="List Paragraph"/>
    <w:basedOn w:val="Normal"/>
    <w:uiPriority w:val="34"/>
    <w:qFormat/>
    <w:rsid w:val="00824179"/>
    <w:pPr>
      <w:ind w:left="720"/>
      <w:contextualSpacing/>
    </w:pPr>
  </w:style>
  <w:style w:styleId="Quote" w:type="paragraph">
    <w:name w:val="Quote"/>
    <w:basedOn w:val="Normal"/>
    <w:next w:val="Normal"/>
    <w:link w:val="QuoteChar"/>
    <w:uiPriority w:val="29"/>
    <w:rsid w:val="00824179"/>
    <w:pPr>
      <w:spacing w:before="160"/>
      <w:ind w:left="720" w:right="720"/>
      <w:jc w:val="center"/>
    </w:pPr>
    <w:rPr>
      <w:rFonts w:cstheme="minorBidi" w:eastAsiaTheme="minorEastAsia"/>
      <w:i/>
      <w:iCs/>
      <w:color w:themeColor="text1" w:themeTint="D9" w:val="262626"/>
      <w:sz w:val="21"/>
      <w:szCs w:val="21"/>
    </w:rPr>
  </w:style>
  <w:style w:customStyle="1" w:styleId="QuoteChar" w:type="character">
    <w:name w:val="Quote Char"/>
    <w:basedOn w:val="DefaultParagraphFont"/>
    <w:link w:val="Quote"/>
    <w:uiPriority w:val="29"/>
    <w:rsid w:val="00FE33F1"/>
    <w:rPr>
      <w:i/>
      <w:iCs/>
      <w:color w:themeColor="text1" w:themeTint="D9" w:val="262626"/>
    </w:rPr>
  </w:style>
  <w:style w:styleId="IntenseQuote" w:type="paragraph">
    <w:name w:val="Intense Quote"/>
    <w:basedOn w:val="Normal"/>
    <w:next w:val="Normal"/>
    <w:link w:val="IntenseQuoteChar"/>
    <w:uiPriority w:val="30"/>
    <w:rsid w:val="00824179"/>
    <w:pPr>
      <w:spacing w:before="160" w:line="264" w:lineRule="auto"/>
      <w:ind w:left="720" w:right="720"/>
      <w:jc w:val="center"/>
    </w:pPr>
    <w:rPr>
      <w:rFonts w:asciiTheme="majorHAnsi" w:cstheme="majorBidi" w:eastAsiaTheme="majorEastAsia" w:hAnsiTheme="majorHAnsi"/>
      <w:i/>
      <w:iCs/>
      <w:color w:themeColor="accent6" w:val="0A105D"/>
      <w:sz w:val="32"/>
      <w:szCs w:val="32"/>
    </w:rPr>
  </w:style>
  <w:style w:customStyle="1" w:styleId="IntenseQuoteChar" w:type="character">
    <w:name w:val="Intense Quote Char"/>
    <w:basedOn w:val="DefaultParagraphFont"/>
    <w:link w:val="IntenseQuote"/>
    <w:uiPriority w:val="30"/>
    <w:rsid w:val="00FE33F1"/>
    <w:rPr>
      <w:rFonts w:asciiTheme="majorHAnsi" w:cstheme="majorBidi" w:eastAsiaTheme="majorEastAsia" w:hAnsiTheme="majorHAnsi"/>
      <w:i/>
      <w:iCs/>
      <w:color w:themeColor="accent6" w:val="0A105D"/>
      <w:sz w:val="32"/>
      <w:szCs w:val="32"/>
    </w:rPr>
  </w:style>
  <w:style w:customStyle="1" w:styleId="Table2-EDPB" w:type="table">
    <w:name w:val="Table 2 - EDPB"/>
    <w:basedOn w:val="TableNormal"/>
    <w:uiPriority w:val="99"/>
    <w:rsid w:val="00E80001"/>
    <w:pPr>
      <w:spacing w:after="0" w:line="240" w:lineRule="auto"/>
    </w:pPr>
    <w:rPr>
      <w:sz w:val="20"/>
    </w:rPr>
    <w:tblPr>
      <w:tblBorders>
        <w:top w:color="0A105D" w:space="0" w:sz="4" w:themeColor="accent3" w:val="single"/>
        <w:left w:color="0A105D" w:space="0" w:sz="4" w:themeColor="accent3" w:val="single"/>
        <w:bottom w:color="0A105D" w:space="0" w:sz="4" w:themeColor="accent3" w:val="single"/>
        <w:right w:color="0A105D" w:space="0" w:sz="4" w:themeColor="accent3" w:val="single"/>
        <w:insideH w:color="0A105D" w:space="0" w:sz="4" w:themeColor="accent3" w:val="single"/>
        <w:insideV w:color="0A105D" w:space="0" w:sz="4" w:themeColor="accent3" w:val="single"/>
      </w:tblBorders>
    </w:tblPr>
    <w:tcPr>
      <w:shd w:color="auto" w:fill="auto" w:val="clear"/>
    </w:tcPr>
    <w:tblStylePr w:type="firstRow">
      <w:rPr>
        <w:b/>
        <w:sz w:val="22"/>
      </w:rPr>
      <w:tblPr/>
      <w:tcPr>
        <w:tcBorders>
          <w:top w:color="0A105D" w:space="0" w:sz="4" w:themeColor="accent3" w:val="single"/>
          <w:left w:color="0A105D" w:space="0" w:sz="4" w:themeColor="accent3" w:val="single"/>
          <w:bottom w:color="0A105D" w:space="0" w:sz="4" w:themeColor="accent3" w:val="single"/>
          <w:right w:color="0A105D" w:space="0" w:sz="4" w:themeColor="accent3" w:val="single"/>
          <w:insideH w:color="0A105D" w:space="0" w:sz="4" w:themeColor="accent3" w:val="single"/>
          <w:insideV w:color="0A105D" w:space="0" w:sz="4" w:themeColor="accent3" w:val="single"/>
        </w:tcBorders>
        <w:shd w:color="auto" w:fill="auto" w:val="clear"/>
      </w:tcPr>
    </w:tblStylePr>
  </w:style>
  <w:style w:styleId="IntenseEmphasis" w:type="character">
    <w:name w:val="Intense Emphasis"/>
    <w:aliases w:val="Instruction - EDPB"/>
    <w:basedOn w:val="DefaultParagraphFont"/>
    <w:uiPriority w:val="5"/>
    <w:qFormat/>
    <w:rsid w:val="00E67185"/>
    <w:rPr>
      <w:rFonts w:ascii="Glory" w:hAnsi="Glory"/>
      <w:bCs/>
      <w:iCs/>
      <w:color w:val="CC3300"/>
      <w:sz w:val="18"/>
    </w:rPr>
  </w:style>
  <w:style w:styleId="SubtleReference" w:type="character">
    <w:name w:val="Subtle Reference"/>
    <w:basedOn w:val="DefaultParagraphFont"/>
    <w:uiPriority w:val="31"/>
    <w:rsid w:val="00824179"/>
    <w:rPr>
      <w:smallCaps/>
      <w:color w:themeColor="text1" w:themeTint="A6" w:val="595959"/>
    </w:rPr>
  </w:style>
  <w:style w:styleId="IntenseReference" w:type="character">
    <w:name w:val="Intense Reference"/>
    <w:basedOn w:val="DefaultParagraphFont"/>
    <w:uiPriority w:val="32"/>
    <w:rsid w:val="00824179"/>
    <w:rPr>
      <w:b/>
      <w:bCs/>
      <w:smallCaps/>
      <w:color w:themeColor="accent6" w:val="0A105D"/>
    </w:rPr>
  </w:style>
  <w:style w:styleId="TOCHeading" w:type="paragraph">
    <w:name w:val="TOC Heading"/>
    <w:basedOn w:val="Heading1"/>
    <w:next w:val="Normal"/>
    <w:uiPriority w:val="39"/>
    <w:qFormat/>
    <w:rsid w:val="00595B77"/>
    <w:pPr>
      <w:outlineLvl w:val="9"/>
    </w:pPr>
  </w:style>
  <w:style w:styleId="ListTable1Light-Accent4" w:type="table">
    <w:name w:val="List Table 1 Light Accent 4"/>
    <w:basedOn w:val="TableNormal"/>
    <w:uiPriority w:val="46"/>
    <w:rsid w:val="0047378B"/>
    <w:pPr>
      <w:spacing w:after="0" w:line="240" w:lineRule="auto"/>
    </w:pPr>
    <w:tblPr>
      <w:tblStyleRowBandSize w:val="1"/>
      <w:tblStyleColBandSize w:val="1"/>
    </w:tblPr>
    <w:tblStylePr w:type="firstRow">
      <w:rPr>
        <w:b/>
        <w:bCs/>
      </w:rPr>
      <w:tblPr/>
      <w:tcPr>
        <w:tcBorders>
          <w:bottom w:color="9EDAFA" w:space="0" w:sz="4" w:themeColor="accent4" w:themeTint="99" w:val="single"/>
        </w:tcBorders>
      </w:tcPr>
    </w:tblStylePr>
    <w:tblStylePr w:type="lastRow">
      <w:rPr>
        <w:b/>
        <w:bCs/>
      </w:rPr>
      <w:tblPr/>
      <w:tcPr>
        <w:tcBorders>
          <w:top w:color="9EDAFA" w:space="0" w:sz="4" w:themeColor="accent4" w:themeTint="99" w:val="single"/>
        </w:tcBorders>
      </w:tcPr>
    </w:tblStylePr>
    <w:tblStylePr w:type="firstCol">
      <w:rPr>
        <w:b/>
        <w:bCs/>
      </w:rPr>
    </w:tblStylePr>
    <w:tblStylePr w:type="lastCol">
      <w:rPr>
        <w:b/>
        <w:bCs/>
      </w:rPr>
    </w:tblStylePr>
    <w:tblStylePr w:type="band1Vert">
      <w:tblPr/>
      <w:tcPr>
        <w:shd w:color="auto" w:fill="DEF2FD" w:themeFill="accent4" w:themeFillTint="33" w:val="clear"/>
      </w:tcPr>
    </w:tblStylePr>
    <w:tblStylePr w:type="band1Horz">
      <w:tblPr/>
      <w:tcPr>
        <w:shd w:color="auto" w:fill="DEF2FD" w:themeFill="accent4" w:themeFillTint="33" w:val="clear"/>
      </w:tcPr>
    </w:tblStylePr>
  </w:style>
  <w:style w:styleId="TableGrid" w:type="table">
    <w:name w:val="Table Grid"/>
    <w:aliases w:val="Table 1 - EDPB"/>
    <w:basedOn w:val="TableNormal"/>
    <w:uiPriority w:val="59"/>
    <w:rsid w:val="009A25EE"/>
    <w:rPr>
      <w:sz w:val="22"/>
    </w:rPr>
    <w:tblPr>
      <w:tblStyleRowBandSize w:val="1"/>
      <w:tblBorders>
        <w:right w:color="0A105D" w:space="0" w:sz="4" w:themeColor="accent1" w:val="single"/>
        <w:insideV w:color="0A105D" w:space="0" w:sz="4" w:themeColor="accent1" w:val="single"/>
      </w:tblBorders>
    </w:tblPr>
    <w:tcPr>
      <w:shd w:color="auto" w:fill="auto" w:val="clear"/>
    </w:tcPr>
    <w:tblStylePr w:type="firstRow">
      <w:rPr>
        <w:rFonts w:ascii="Glory" w:hAnsi="Glory"/>
        <w:b/>
        <w:sz w:val="22"/>
      </w:rPr>
      <w:tblPr/>
      <w:tcPr>
        <w:tcBorders>
          <w:top w:val="nil"/>
          <w:left w:val="nil"/>
          <w:bottom w:val="nil"/>
          <w:right w:val="nil"/>
          <w:insideH w:val="nil"/>
          <w:insideV w:color="000000" w:space="0" w:sz="4" w:themeColor="accent5" w:val="single"/>
          <w:tl2br w:val="nil"/>
          <w:tr2bl w:val="nil"/>
        </w:tcBorders>
        <w:shd w:color="auto" w:fill="auto" w:val="clear"/>
      </w:tcPr>
    </w:tblStylePr>
    <w:tblStylePr w:type="band1Horz">
      <w:rPr>
        <w:rFonts w:ascii="Glory" w:hAnsi="Glory"/>
        <w:sz w:val="22"/>
      </w:rPr>
      <w:tblPr/>
      <w:tcPr>
        <w:tcBorders>
          <w:top w:val="nil"/>
          <w:left w:val="nil"/>
          <w:bottom w:val="nil"/>
          <w:right w:val="nil"/>
          <w:insideH w:color="0A105D" w:space="0" w:sz="8" w:themeColor="accent1" w:val="single"/>
          <w:insideV w:color="0A105D" w:space="0" w:sz="8" w:themeColor="accent1" w:val="single"/>
          <w:tl2br w:val="nil"/>
          <w:tr2bl w:val="nil"/>
        </w:tcBorders>
        <w:shd w:color="auto" w:fill="E9ECEB" w:themeFill="background2" w:val="clear"/>
      </w:tcPr>
    </w:tblStylePr>
    <w:tblStylePr w:type="band2Horz">
      <w:tblPr/>
      <w:tcPr>
        <w:tcBorders>
          <w:top w:val="nil"/>
          <w:left w:val="nil"/>
          <w:bottom w:val="nil"/>
          <w:right w:val="nil"/>
          <w:insideH w:color="0A105D" w:space="0" w:sz="8" w:themeColor="accent6" w:val="single"/>
          <w:insideV w:color="0A105D" w:space="0" w:sz="8" w:themeColor="accent6" w:val="single"/>
        </w:tcBorders>
        <w:shd w:color="auto" w:fill="FFFFFF" w:themeFill="background1" w:val="clear"/>
      </w:tcPr>
    </w:tblStylePr>
  </w:style>
  <w:style w:styleId="Hyperlink" w:type="character">
    <w:name w:val="Hyperlink"/>
    <w:aliases w:val="Hyperlink-EDPB"/>
    <w:basedOn w:val="DefaultParagraphFont"/>
    <w:uiPriority w:val="99"/>
    <w:qFormat/>
    <w:rsid w:val="00081837"/>
    <w:rPr>
      <w:rFonts w:cs="Times New Roman"/>
      <w:color w:themeColor="hyperlink" w:val="08149C"/>
      <w:u w:val="single"/>
    </w:rPr>
  </w:style>
  <w:style w:styleId="FootnoteText" w:type="paragraph">
    <w:name w:val="footnote text"/>
    <w:aliases w:val="Footnote Text - EDPB"/>
    <w:basedOn w:val="Normal"/>
    <w:link w:val="FootnoteTextChar"/>
    <w:autoRedefine/>
    <w:uiPriority w:val="99"/>
    <w:qFormat/>
    <w:rsid w:val="00824179"/>
    <w:pPr>
      <w:spacing w:after="0" w:before="0"/>
      <w:jc w:val="left"/>
    </w:pPr>
    <w:rPr>
      <w:sz w:val="16"/>
      <w:szCs w:val="20"/>
    </w:rPr>
  </w:style>
  <w:style w:customStyle="1" w:styleId="FootnoteTextChar" w:type="character">
    <w:name w:val="Footnote Text Char"/>
    <w:aliases w:val="Footnote Text - EDPB Char"/>
    <w:basedOn w:val="DefaultParagraphFont"/>
    <w:link w:val="FootnoteText"/>
    <w:uiPriority w:val="99"/>
    <w:rsid w:val="00FE33F1"/>
    <w:rPr>
      <w:rFonts w:cs="Calibri" w:eastAsia="Times New Roman"/>
      <w:color w:themeColor="text1" w:val="000000"/>
      <w:sz w:val="16"/>
      <w:szCs w:val="20"/>
    </w:rPr>
  </w:style>
  <w:style w:styleId="FootnoteReference" w:type="character">
    <w:name w:val="footnote reference"/>
    <w:basedOn w:val="DefaultParagraphFont"/>
    <w:uiPriority w:val="99"/>
    <w:rsid w:val="00081837"/>
    <w:rPr>
      <w:rFonts w:cs="Times New Roman"/>
      <w:vertAlign w:val="superscript"/>
    </w:rPr>
  </w:style>
  <w:style w:customStyle="1" w:styleId="NumberedExampleinabox-EDPB" w:type="paragraph">
    <w:name w:val="Numbered Example in a box - EDPB"/>
    <w:basedOn w:val="Normal"/>
    <w:link w:val="NumberedExampleinabox-EDPBChar"/>
    <w:autoRedefine/>
    <w:uiPriority w:val="3"/>
    <w:qFormat/>
    <w:rsid w:val="00824179"/>
    <w:pPr>
      <w:numPr>
        <w:numId w:val="1"/>
      </w:numPr>
      <w:pBdr>
        <w:top w:color="0A105D" w:space="1" w:sz="12" w:themeColor="accent6" w:val="single"/>
        <w:bottom w:color="0A105D" w:space="1" w:sz="12" w:themeColor="accent6" w:val="single"/>
      </w:pBdr>
      <w:tabs>
        <w:tab w:pos="993" w:val="left"/>
        <w:tab w:pos="1701" w:val="left"/>
      </w:tabs>
      <w:ind w:hanging="1247" w:left="1672"/>
    </w:pPr>
    <w:rPr>
      <w:szCs w:val="22"/>
    </w:rPr>
  </w:style>
  <w:style w:customStyle="1" w:styleId="NumberedExampleinabox-EDPBChar" w:type="character">
    <w:name w:val="Numbered Example in a box - EDPB Char"/>
    <w:basedOn w:val="DefaultParagraphFont"/>
    <w:link w:val="NumberedExampleinabox-EDPB"/>
    <w:uiPriority w:val="3"/>
    <w:locked/>
    <w:rsid w:val="007B75F9"/>
    <w:rPr>
      <w:rFonts w:ascii="Glory" w:cs="Calibri" w:eastAsia="Times New Roman" w:hAnsi="Glory"/>
      <w:color w:themeColor="text1" w:val="000000"/>
      <w:sz w:val="22"/>
      <w:szCs w:val="22"/>
    </w:rPr>
  </w:style>
  <w:style w:styleId="TOC2" w:type="paragraph">
    <w:name w:val="toc 2"/>
    <w:basedOn w:val="Normal"/>
    <w:next w:val="Normal"/>
    <w:autoRedefine/>
    <w:uiPriority w:val="39"/>
    <w:rsid w:val="00BB6F65"/>
    <w:pPr>
      <w:tabs>
        <w:tab w:pos="880" w:val="left"/>
        <w:tab w:leader="dot" w:pos="9016" w:val="right"/>
      </w:tabs>
      <w:spacing w:after="100"/>
      <w:ind w:left="567"/>
    </w:pPr>
  </w:style>
  <w:style w:styleId="Caption" w:type="paragraph">
    <w:name w:val="caption"/>
    <w:aliases w:val="Caption images - EDPB"/>
    <w:basedOn w:val="Normal"/>
    <w:next w:val="Normal"/>
    <w:autoRedefine/>
    <w:uiPriority w:val="35"/>
    <w:qFormat/>
    <w:rsid w:val="00E80001"/>
    <w:pPr>
      <w:spacing w:before="0" w:line="240" w:lineRule="auto"/>
      <w:ind w:left="284"/>
      <w:jc w:val="left"/>
    </w:pPr>
    <w:rPr>
      <w:bCs/>
      <w:spacing w:val="4"/>
      <w:sz w:val="18"/>
    </w:rPr>
  </w:style>
  <w:style w:customStyle="1" w:styleId="Numberedparagraph-EDPB" w:type="paragraph">
    <w:name w:val="Numbered paragraph - EDPB"/>
    <w:basedOn w:val="NumberedParagraph"/>
    <w:link w:val="Numberedparagraph-EDPBChar"/>
    <w:uiPriority w:val="3"/>
    <w:qFormat/>
    <w:rsid w:val="00B3739D"/>
    <w:pPr>
      <w:numPr>
        <w:numId w:val="3"/>
      </w:numPr>
      <w:ind w:hanging="567" w:left="0"/>
    </w:pPr>
  </w:style>
  <w:style w:customStyle="1" w:styleId="NumberedParagraph" w:type="paragraph">
    <w:name w:val="Numbered Paragraph"/>
    <w:basedOn w:val="Normal"/>
    <w:autoRedefine/>
    <w:qFormat/>
    <w:rsid w:val="007A17E8"/>
    <w:pPr>
      <w:numPr>
        <w:numId w:val="2"/>
      </w:numPr>
    </w:pPr>
  </w:style>
  <w:style w:customStyle="1" w:styleId="Numberedparagraph-EDPBChar" w:type="character">
    <w:name w:val="Numbered paragraph - EDPB Char"/>
    <w:basedOn w:val="DefaultParagraphFont"/>
    <w:link w:val="Numberedparagraph-EDPB"/>
    <w:uiPriority w:val="3"/>
    <w:rsid w:val="00B3739D"/>
    <w:rPr>
      <w:rFonts w:ascii="Glory" w:cs="Calibri" w:eastAsia="Times New Roman" w:hAnsi="Glory"/>
      <w:color w:themeColor="text1" w:val="000000"/>
      <w:sz w:val="22"/>
      <w:szCs w:val="24"/>
    </w:rPr>
  </w:style>
  <w:style w:styleId="Header" w:type="paragraph">
    <w:name w:val="header"/>
    <w:basedOn w:val="Normal"/>
    <w:link w:val="HeaderChar"/>
    <w:uiPriority w:val="99"/>
    <w:rsid w:val="00690B21"/>
    <w:pPr>
      <w:tabs>
        <w:tab w:pos="4513" w:val="center"/>
        <w:tab w:pos="9026" w:val="right"/>
      </w:tabs>
      <w:spacing w:after="0" w:line="240" w:lineRule="auto"/>
    </w:pPr>
  </w:style>
  <w:style w:customStyle="1" w:styleId="HeaderChar" w:type="character">
    <w:name w:val="Header Char"/>
    <w:basedOn w:val="DefaultParagraphFont"/>
    <w:link w:val="Header"/>
    <w:uiPriority w:val="99"/>
    <w:rsid w:val="00FE33F1"/>
    <w:rPr>
      <w:rFonts w:cs="Calibri" w:eastAsia="Times New Roman"/>
      <w:color w:themeColor="text1" w:val="000000"/>
      <w:sz w:val="22"/>
      <w:szCs w:val="24"/>
    </w:rPr>
  </w:style>
  <w:style w:styleId="Footer" w:type="paragraph">
    <w:name w:val="footer"/>
    <w:basedOn w:val="Normal"/>
    <w:link w:val="FooterChar"/>
    <w:uiPriority w:val="99"/>
    <w:rsid w:val="00690B21"/>
    <w:pPr>
      <w:tabs>
        <w:tab w:pos="4513" w:val="center"/>
        <w:tab w:pos="9026" w:val="right"/>
      </w:tabs>
      <w:spacing w:after="0" w:line="240" w:lineRule="auto"/>
    </w:pPr>
  </w:style>
  <w:style w:customStyle="1" w:styleId="FooterChar" w:type="character">
    <w:name w:val="Footer Char"/>
    <w:basedOn w:val="DefaultParagraphFont"/>
    <w:link w:val="Footer"/>
    <w:uiPriority w:val="99"/>
    <w:rsid w:val="00FE33F1"/>
    <w:rPr>
      <w:rFonts w:cs="Calibri" w:eastAsia="Times New Roman"/>
      <w:color w:themeColor="text1" w:val="000000"/>
      <w:sz w:val="22"/>
      <w:szCs w:val="24"/>
    </w:rPr>
  </w:style>
  <w:style w:styleId="PlaceholderText" w:type="character">
    <w:name w:val="Placeholder Text"/>
    <w:basedOn w:val="DefaultParagraphFont"/>
    <w:uiPriority w:val="99"/>
    <w:rsid w:val="002321F7"/>
    <w:rPr>
      <w:color w:val="808080"/>
    </w:rPr>
  </w:style>
  <w:style w:customStyle="1" w:styleId="FooterEDPB" w:type="paragraph">
    <w:name w:val="Footer EDPB"/>
    <w:basedOn w:val="Footer"/>
    <w:link w:val="FooterEDPBChar"/>
    <w:uiPriority w:val="4"/>
    <w:qFormat/>
    <w:rsid w:val="00824179"/>
    <w:rPr>
      <w:color w:themeColor="text2" w:val="0A105D"/>
      <w:sz w:val="18"/>
      <w:szCs w:val="18"/>
    </w:rPr>
  </w:style>
  <w:style w:customStyle="1" w:styleId="FooterEDPBChar" w:type="character">
    <w:name w:val="Footer EDPB Char"/>
    <w:basedOn w:val="FooterChar"/>
    <w:link w:val="FooterEDPB"/>
    <w:uiPriority w:val="4"/>
    <w:rsid w:val="007B75F9"/>
    <w:rPr>
      <w:rFonts w:ascii="Glory" w:cs="Calibri" w:eastAsia="Times New Roman" w:hAnsi="Glory"/>
      <w:color w:themeColor="text2" w:val="0A105D"/>
      <w:sz w:val="18"/>
      <w:szCs w:val="18"/>
    </w:rPr>
  </w:style>
  <w:style w:styleId="CommentReference" w:type="character">
    <w:name w:val="annotation reference"/>
    <w:basedOn w:val="DefaultParagraphFont"/>
    <w:uiPriority w:val="99"/>
    <w:rsid w:val="00924240"/>
    <w:rPr>
      <w:rFonts w:cs="Times New Roman"/>
      <w:sz w:val="16"/>
      <w:szCs w:val="16"/>
    </w:rPr>
  </w:style>
  <w:style w:styleId="CommentText" w:type="paragraph">
    <w:name w:val="annotation text"/>
    <w:basedOn w:val="Normal"/>
    <w:link w:val="CommentTextChar"/>
    <w:uiPriority w:val="99"/>
    <w:rsid w:val="00924240"/>
    <w:pPr>
      <w:spacing w:after="160" w:before="0" w:line="240" w:lineRule="auto"/>
      <w:jc w:val="left"/>
    </w:pPr>
    <w:rPr>
      <w:rFonts w:cs="Times New Roman"/>
      <w:color w:val="auto"/>
      <w:sz w:val="20"/>
      <w:szCs w:val="20"/>
    </w:rPr>
  </w:style>
  <w:style w:customStyle="1" w:styleId="CommentTextChar" w:type="character">
    <w:name w:val="Comment Text Char"/>
    <w:basedOn w:val="DefaultParagraphFont"/>
    <w:link w:val="CommentText"/>
    <w:uiPriority w:val="99"/>
    <w:rsid w:val="00FE33F1"/>
    <w:rPr>
      <w:rFonts w:cs="Times New Roman" w:eastAsia="Times New Roman"/>
      <w:sz w:val="20"/>
      <w:szCs w:val="20"/>
    </w:rPr>
  </w:style>
  <w:style w:customStyle="1" w:styleId="NoSpacingChar" w:type="character">
    <w:name w:val="No Spacing Char"/>
    <w:basedOn w:val="DefaultParagraphFont"/>
    <w:link w:val="NoSpacing"/>
    <w:uiPriority w:val="1"/>
    <w:locked/>
    <w:rsid w:val="007B75F9"/>
  </w:style>
  <w:style w:styleId="TOC1" w:type="paragraph">
    <w:name w:val="toc 1"/>
    <w:basedOn w:val="Normal"/>
    <w:next w:val="Normal"/>
    <w:link w:val="TOC1Char"/>
    <w:autoRedefine/>
    <w:uiPriority w:val="39"/>
    <w:qFormat/>
    <w:rsid w:val="00824272"/>
    <w:pPr>
      <w:tabs>
        <w:tab w:pos="567" w:val="left"/>
        <w:tab w:leader="dot" w:pos="9016" w:val="right"/>
      </w:tabs>
      <w:spacing w:after="100"/>
      <w:jc w:val="left"/>
    </w:pPr>
    <w:rPr>
      <w:b/>
      <w:color w:themeColor="text2" w:val="0A105D"/>
    </w:rPr>
  </w:style>
  <w:style w:styleId="BalloonText" w:type="paragraph">
    <w:name w:val="Balloon Text"/>
    <w:basedOn w:val="Normal"/>
    <w:link w:val="BalloonTextChar"/>
    <w:uiPriority w:val="99"/>
    <w:rsid w:val="00924240"/>
    <w:pPr>
      <w:spacing w:after="0" w:before="0" w:line="240" w:lineRule="auto"/>
    </w:pPr>
    <w:rPr>
      <w:rFonts w:ascii="Segoe UI" w:cs="Segoe UI" w:hAnsi="Segoe UI"/>
      <w:sz w:val="18"/>
      <w:szCs w:val="18"/>
    </w:rPr>
  </w:style>
  <w:style w:customStyle="1" w:styleId="BalloonTextChar" w:type="character">
    <w:name w:val="Balloon Text Char"/>
    <w:basedOn w:val="DefaultParagraphFont"/>
    <w:link w:val="BalloonText"/>
    <w:uiPriority w:val="99"/>
    <w:rsid w:val="00FE33F1"/>
    <w:rPr>
      <w:rFonts w:ascii="Segoe UI" w:cs="Segoe UI" w:eastAsia="Times New Roman" w:hAnsi="Segoe UI"/>
      <w:color w:themeColor="text1" w:val="000000"/>
      <w:sz w:val="18"/>
      <w:szCs w:val="18"/>
    </w:rPr>
  </w:style>
  <w:style w:customStyle="1" w:styleId="TextInABox" w:type="paragraph">
    <w:name w:val="TextInABox"/>
    <w:basedOn w:val="Normal"/>
    <w:unhideWhenUsed/>
    <w:qFormat/>
    <w:rsid w:val="0025330E"/>
    <w:pPr>
      <w:pBdr>
        <w:top w:color="auto" w:space="1" w:sz="4" w:val="single"/>
        <w:left w:color="auto" w:space="4" w:sz="4" w:val="single"/>
        <w:bottom w:color="auto" w:space="1" w:sz="4" w:val="single"/>
        <w:right w:color="auto" w:space="4" w:sz="4" w:val="single"/>
      </w:pBdr>
      <w:spacing w:after="160" w:before="0"/>
    </w:pPr>
    <w:rPr>
      <w:rFonts w:cs="Times New Roman"/>
      <w:color w:val="auto"/>
      <w:szCs w:val="22"/>
    </w:rPr>
  </w:style>
  <w:style w:customStyle="1" w:styleId="UnnumberedSectionHeader" w:type="paragraph">
    <w:name w:val="UnnumberedSectionHeader"/>
    <w:basedOn w:val="Normal"/>
    <w:link w:val="UnnumberedSectionHeaderChar"/>
    <w:unhideWhenUsed/>
    <w:qFormat/>
    <w:rsid w:val="00824179"/>
    <w:pPr>
      <w:spacing w:after="160" w:before="240"/>
    </w:pPr>
    <w:rPr>
      <w:rFonts w:cs="Times New Roman"/>
      <w:i/>
      <w:color w:val="auto"/>
      <w:szCs w:val="22"/>
      <w:u w:val="single"/>
    </w:rPr>
  </w:style>
  <w:style w:customStyle="1" w:styleId="UnnumberedSectionHeaderChar" w:type="character">
    <w:name w:val="UnnumberedSectionHeader Char"/>
    <w:basedOn w:val="DefaultParagraphFont"/>
    <w:link w:val="UnnumberedSectionHeader"/>
    <w:locked/>
    <w:rsid w:val="007B75F9"/>
    <w:rPr>
      <w:rFonts w:ascii="Glory" w:cs="Times New Roman" w:eastAsia="Times New Roman" w:hAnsi="Glory"/>
      <w:i/>
      <w:sz w:val="22"/>
      <w:szCs w:val="22"/>
      <w:u w:val="single"/>
    </w:rPr>
  </w:style>
  <w:style w:customStyle="1" w:styleId="StarSpacer" w:type="paragraph">
    <w:name w:val="StarSpacer"/>
    <w:basedOn w:val="ListParagraph"/>
    <w:link w:val="StarSpacerChar"/>
    <w:unhideWhenUsed/>
    <w:qFormat/>
    <w:rsid w:val="00824179"/>
    <w:pPr>
      <w:spacing w:after="240" w:before="240"/>
      <w:ind w:left="0"/>
      <w:jc w:val="center"/>
    </w:pPr>
    <w:rPr>
      <w:rFonts w:cs="Times New Roman"/>
      <w:color w:val="auto"/>
      <w:szCs w:val="22"/>
    </w:rPr>
  </w:style>
  <w:style w:customStyle="1" w:styleId="StarSpacerChar" w:type="character">
    <w:name w:val="StarSpacer Char"/>
    <w:basedOn w:val="DefaultParagraphFont"/>
    <w:link w:val="StarSpacer"/>
    <w:locked/>
    <w:rsid w:val="007B75F9"/>
    <w:rPr>
      <w:rFonts w:ascii="Glory" w:cs="Times New Roman" w:eastAsia="Times New Roman" w:hAnsi="Glory"/>
      <w:sz w:val="22"/>
      <w:szCs w:val="22"/>
    </w:rPr>
  </w:style>
  <w:style w:styleId="TOC3" w:type="paragraph">
    <w:name w:val="toc 3"/>
    <w:basedOn w:val="Normal"/>
    <w:next w:val="Normal"/>
    <w:autoRedefine/>
    <w:uiPriority w:val="39"/>
    <w:rsid w:val="00BB6F65"/>
    <w:pPr>
      <w:tabs>
        <w:tab w:pos="1320" w:val="left"/>
        <w:tab w:leader="dot" w:pos="9016" w:val="right"/>
      </w:tabs>
      <w:spacing w:after="100"/>
      <w:ind w:left="794"/>
    </w:pPr>
  </w:style>
  <w:style w:customStyle="1" w:styleId="TOC1Char" w:type="character">
    <w:name w:val="TOC 1 Char"/>
    <w:basedOn w:val="DefaultParagraphFont"/>
    <w:link w:val="TOC1"/>
    <w:uiPriority w:val="39"/>
    <w:rsid w:val="00FE33F1"/>
    <w:rPr>
      <w:rFonts w:cs="Calibri" w:eastAsia="Times New Roman"/>
      <w:b/>
      <w:color w:themeColor="text2" w:val="0A105D"/>
      <w:sz w:val="22"/>
      <w:szCs w:val="24"/>
    </w:rPr>
  </w:style>
  <w:style w:styleId="PlainTable3" w:type="table">
    <w:name w:val="Plain Table 3"/>
    <w:basedOn w:val="TableNormal"/>
    <w:uiPriority w:val="43"/>
    <w:rsid w:val="0047378B"/>
    <w:pPr>
      <w:spacing w:after="0" w:line="240" w:lineRule="auto"/>
    </w:pPr>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styleId="TOC4" w:type="paragraph">
    <w:name w:val="toc 4"/>
    <w:basedOn w:val="Normal"/>
    <w:next w:val="Normal"/>
    <w:autoRedefine/>
    <w:uiPriority w:val="39"/>
    <w:rsid w:val="00BB6F65"/>
    <w:pPr>
      <w:spacing w:after="100"/>
      <w:ind w:left="720"/>
    </w:pPr>
  </w:style>
  <w:style w:customStyle="1" w:styleId="Listbullets-EDPB" w:type="paragraph">
    <w:name w:val="List bullets - EDPB"/>
    <w:basedOn w:val="ListParagraph"/>
    <w:next w:val="Normal"/>
    <w:uiPriority w:val="3"/>
    <w:qFormat/>
    <w:rsid w:val="00AA2554"/>
    <w:pPr>
      <w:numPr>
        <w:numId w:val="4"/>
      </w:numPr>
    </w:pPr>
  </w:style>
  <w:style w:styleId="GridTable2-Accent3" w:type="table">
    <w:name w:val="Grid Table 2 Accent 3"/>
    <w:basedOn w:val="TableNormal"/>
    <w:uiPriority w:val="47"/>
    <w:rsid w:val="00AA2554"/>
    <w:pPr>
      <w:spacing w:after="0" w:line="240" w:lineRule="auto"/>
    </w:pPr>
    <w:tblPr>
      <w:tblStyleRowBandSize w:val="1"/>
      <w:tblStyleColBandSize w:val="1"/>
      <w:tblBorders>
        <w:top w:color="2230E7" w:space="0" w:sz="2" w:themeColor="accent3" w:themeTint="99" w:val="single"/>
        <w:bottom w:color="2230E7" w:space="0" w:sz="2" w:themeColor="accent3" w:themeTint="99" w:val="single"/>
        <w:insideH w:color="2230E7" w:space="0" w:sz="2" w:themeColor="accent3" w:themeTint="99" w:val="single"/>
        <w:insideV w:color="2230E7" w:space="0" w:sz="2" w:themeColor="accent3" w:themeTint="99" w:val="single"/>
      </w:tblBorders>
    </w:tblPr>
    <w:tblStylePr w:type="firstRow">
      <w:rPr>
        <w:b/>
        <w:bCs/>
      </w:rPr>
      <w:tblPr/>
      <w:tcPr>
        <w:tcBorders>
          <w:top w:val="nil"/>
          <w:bottom w:color="2230E7" w:space="0" w:sz="12" w:themeColor="accent3" w:themeTint="99" w:val="single"/>
          <w:insideH w:val="nil"/>
          <w:insideV w:val="nil"/>
        </w:tcBorders>
        <w:shd w:color="auto" w:fill="FFFFFF" w:themeFill="background1" w:val="clear"/>
      </w:tcPr>
    </w:tblStylePr>
    <w:tblStylePr w:type="lastRow">
      <w:rPr>
        <w:b/>
        <w:bCs/>
      </w:rPr>
      <w:tblPr/>
      <w:tcPr>
        <w:tcBorders>
          <w:top w:color="2230E7" w:space="0" w:sz="2" w:themeColor="accent3"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B5B9F7" w:themeFill="accent3" w:themeFillTint="33" w:val="clear"/>
      </w:tcPr>
    </w:tblStylePr>
    <w:tblStylePr w:type="band1Horz">
      <w:tblPr/>
      <w:tcPr>
        <w:shd w:color="auto" w:fill="B5B9F7" w:themeFill="accent3" w:themeFillTint="33" w:val="clear"/>
      </w:tcPr>
    </w:tblStylePr>
  </w:style>
  <w:style w:customStyle="1" w:styleId="Listofnumbers-EDPB" w:type="paragraph">
    <w:name w:val="List of numbers - EDPB"/>
    <w:basedOn w:val="Listbullets-EDPB"/>
    <w:next w:val="Normal"/>
    <w:autoRedefine/>
    <w:uiPriority w:val="3"/>
    <w:qFormat/>
    <w:rsid w:val="00446B6F"/>
    <w:pPr>
      <w:numPr>
        <w:numId w:val="5"/>
      </w:numPr>
    </w:pPr>
  </w:style>
  <w:style w:customStyle="1" w:styleId="Editorialinfo-version" w:type="paragraph">
    <w:name w:val="Editorial info - version"/>
    <w:aliases w:val="date-EDPB"/>
    <w:autoRedefine/>
    <w:uiPriority w:val="1"/>
    <w:qFormat/>
    <w:rsid w:val="00557DA5"/>
    <w:pPr>
      <w:jc w:val="center"/>
    </w:pPr>
    <w:rPr>
      <w:rFonts w:cs="Calibri" w:eastAsia="Times New Roman"/>
      <w:color w:themeColor="text2" w:val="0A105D"/>
      <w:sz w:val="28"/>
      <w:szCs w:val="32"/>
    </w:rPr>
  </w:style>
  <w:style w:styleId="GridTable5Dark-Accent1" w:type="table">
    <w:name w:val="Grid Table 5 Dark Accent 1"/>
    <w:basedOn w:val="TableNormal"/>
    <w:uiPriority w:val="50"/>
    <w:rsid w:val="0065506B"/>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1" w:val="clear"/>
      </w:tcPr>
    </w:tblStylePr>
    <w:tblStylePr w:type="band1Vert">
      <w:tblPr/>
      <w:tcPr>
        <w:shd w:color="auto" w:fill="6B75EF" w:themeFill="accent1" w:themeFillTint="66" w:val="clear"/>
      </w:tcPr>
    </w:tblStylePr>
    <w:tblStylePr w:type="band1Horz">
      <w:tblPr/>
      <w:tcPr>
        <w:shd w:color="auto" w:fill="6B75EF" w:themeFill="accent1" w:themeFillTint="66" w:val="clear"/>
      </w:tcPr>
    </w:tblStylePr>
  </w:style>
  <w:style w:styleId="PlainTable5" w:type="table">
    <w:name w:val="Plain Table 5"/>
    <w:aliases w:val="Table 3 - EDPB"/>
    <w:basedOn w:val="TableNormal"/>
    <w:uiPriority w:val="45"/>
    <w:rsid w:val="009A25EE"/>
    <w:pPr>
      <w:spacing w:after="0" w:line="240" w:lineRule="auto"/>
    </w:pPr>
    <w:tblPr>
      <w:tblStyleRowBandSize w:val="1"/>
      <w:tblStyleColBandSize w:val="1"/>
    </w:tblPr>
    <w:tblStylePr w:type="firstRow">
      <w:rPr>
        <w:rFonts w:asciiTheme="majorHAnsi" w:cstheme="majorBidi" w:eastAsiaTheme="majorEastAsia" w:hAnsiTheme="majorHAnsi"/>
        <w:b/>
        <w:i w:val="0"/>
        <w:iCs/>
        <w:sz w:val="26"/>
      </w:rPr>
      <w:tblPr/>
      <w:tcPr>
        <w:tcBorders>
          <w:bottom w:color="7F7F7F" w:space="0" w:sz="4" w:themeColor="text1" w:themeTint="80"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F7F7F" w:space="0" w:sz="4" w:themeColor="text1" w:themeTint="80" w:val="single"/>
        </w:tcBorders>
        <w:shd w:color="auto" w:fill="FFFFFF" w:themeFill="background1" w:val="clear"/>
      </w:tcPr>
    </w:tblStylePr>
    <w:tblStylePr w:type="firstCol">
      <w:pPr>
        <w:jc w:val="right"/>
      </w:pPr>
      <w:rPr>
        <w:rFonts w:asciiTheme="majorHAnsi" w:cstheme="majorBidi" w:eastAsiaTheme="majorEastAsia" w:hAnsiTheme="majorHAnsi"/>
        <w:b/>
        <w:i w:val="0"/>
        <w:iCs/>
        <w:sz w:val="26"/>
      </w:rPr>
      <w:tblPr/>
      <w:tcPr>
        <w:tcBorders>
          <w:right w:color="7F7F7F" w:space="0" w:sz="4" w:themeColor="text1" w:themeTint="80"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F7F7F" w:space="0" w:sz="4" w:themeColor="text1" w:themeTint="80" w:val="single"/>
        </w:tcBorders>
        <w:shd w:color="auto" w:fill="FFFFFF" w:themeFill="background1" w:val="clear"/>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GridTable1Light-Accent5" w:type="table">
    <w:name w:val="Grid Table 1 Light Accent 5"/>
    <w:basedOn w:val="TableNormal"/>
    <w:uiPriority w:val="46"/>
    <w:rsid w:val="004B5C8E"/>
    <w:pPr>
      <w:spacing w:after="0" w:line="240" w:lineRule="auto"/>
    </w:pPr>
    <w:rPr>
      <w:sz w:val="22"/>
    </w:rPr>
    <w:tblPr>
      <w:tblStyleRowBandSize w:val="1"/>
      <w:tblStyleColBandSize w:val="1"/>
    </w:tblPr>
    <w:tblStylePr w:type="firstRow">
      <w:rPr>
        <w:rFonts w:ascii="Glory" w:hAnsi="Glory"/>
        <w:b/>
        <w:bCs/>
        <w:color w:themeColor="accent1" w:val="0A105D"/>
        <w:sz w:val="28"/>
      </w:rPr>
      <w:tblPr/>
      <w:tcPr>
        <w:tcBorders>
          <w:bottom w:color="666666" w:space="0" w:sz="12" w:themeColor="accent5" w:themeTint="99" w:val="single"/>
        </w:tcBorders>
      </w:tcPr>
    </w:tblStylePr>
    <w:tblStylePr w:type="lastRow">
      <w:rPr>
        <w:b/>
        <w:bCs/>
      </w:rPr>
      <w:tblPr/>
      <w:tcPr>
        <w:tcBorders>
          <w:top w:color="666666" w:space="0" w:sz="2" w:themeColor="accent5" w:themeTint="99" w:val="double"/>
        </w:tcBorders>
      </w:tcPr>
    </w:tblStylePr>
    <w:tblStylePr w:type="firstCol">
      <w:rPr>
        <w:b/>
        <w:bCs/>
      </w:rPr>
    </w:tblStylePr>
    <w:tblStylePr w:type="lastCol">
      <w:rPr>
        <w:b/>
        <w:bCs/>
      </w:rPr>
    </w:tblStylePr>
  </w:style>
  <w:style w:customStyle="1" w:styleId="Table5-EDPB" w:type="table">
    <w:name w:val="Table 5 - EDPB"/>
    <w:basedOn w:val="TableNormal"/>
    <w:uiPriority w:val="99"/>
    <w:rsid w:val="004B5C8E"/>
    <w:pPr>
      <w:spacing w:after="0" w:line="240" w:lineRule="auto"/>
    </w:pPr>
    <w:rPr>
      <w:sz w:val="22"/>
    </w:rPr>
    <w:tblPr/>
    <w:tcPr>
      <w:vAlign w:val="center"/>
    </w:tcPr>
    <w:tblStylePr w:type="firstRow">
      <w:pPr>
        <w:jc w:val="left"/>
      </w:pPr>
      <w:rPr>
        <w:rFonts w:ascii="Glory" w:hAnsi="Glory"/>
        <w:b/>
        <w:sz w:val="28"/>
      </w:rPr>
      <w:tblPr/>
      <w:tcPr>
        <w:tcBorders>
          <w:top w:val="nil"/>
          <w:left w:val="nil"/>
          <w:bottom w:color="08149C" w:space="0" w:sz="12" w:themeColor="accent2" w:val="single"/>
          <w:right w:val="nil"/>
          <w:insideH w:val="nil"/>
          <w:insideV w:val="nil"/>
        </w:tcBorders>
        <w:vAlign w:val="center"/>
      </w:tcPr>
    </w:tblStylePr>
  </w:style>
  <w:style w:styleId="GridTable4-Accent1" w:type="table">
    <w:name w:val="Grid Table 4 Accent 1"/>
    <w:basedOn w:val="TableNormal"/>
    <w:uiPriority w:val="49"/>
    <w:rsid w:val="009A25EE"/>
    <w:pPr>
      <w:spacing w:after="0" w:line="240" w:lineRule="auto"/>
    </w:pPr>
    <w:tblPr>
      <w:tblStyleRowBandSize w:val="1"/>
      <w:tblStyleColBandSize w:val="1"/>
      <w:tblBorders>
        <w:top w:color="2230E7" w:space="0" w:sz="4" w:themeColor="accent1" w:themeTint="99" w:val="single"/>
        <w:left w:color="2230E7" w:space="0" w:sz="4" w:themeColor="accent1" w:themeTint="99" w:val="single"/>
        <w:bottom w:color="2230E7" w:space="0" w:sz="4" w:themeColor="accent1" w:themeTint="99" w:val="single"/>
        <w:right w:color="2230E7" w:space="0" w:sz="4" w:themeColor="accent1" w:themeTint="99" w:val="single"/>
        <w:insideH w:color="2230E7" w:space="0" w:sz="4" w:themeColor="accent1" w:themeTint="99" w:val="single"/>
        <w:insideV w:color="2230E7" w:space="0" w:sz="4" w:themeColor="accent1" w:themeTint="99" w:val="single"/>
      </w:tblBorders>
    </w:tblPr>
    <w:tblStylePr w:type="firstRow">
      <w:rPr>
        <w:b/>
        <w:bCs/>
        <w:color w:val="FFFFFF"/>
      </w:rPr>
      <w:tblPr/>
      <w:tcPr>
        <w:tcBorders>
          <w:top w:color="0A105D" w:space="0" w:sz="4" w:themeColor="accent1" w:val="single"/>
          <w:left w:color="0A105D" w:space="0" w:sz="4" w:themeColor="accent1" w:val="single"/>
          <w:bottom w:color="0A105D" w:space="0" w:sz="4" w:themeColor="accent1" w:val="single"/>
          <w:right w:color="0A105D" w:space="0" w:sz="4" w:themeColor="accent1" w:val="single"/>
          <w:insideH w:val="nil"/>
          <w:insideV w:val="nil"/>
        </w:tcBorders>
        <w:shd w:color="auto" w:fill="0A105D" w:themeFill="accent1" w:val="clear"/>
      </w:tcPr>
    </w:tblStylePr>
    <w:tblStylePr w:type="lastRow">
      <w:rPr>
        <w:b/>
        <w:bCs/>
      </w:rPr>
      <w:tblPr/>
      <w:tcPr>
        <w:tcBorders>
          <w:top w:color="0A105D" w:space="0" w:sz="4" w:themeColor="accent1" w:val="double"/>
        </w:tcBorders>
      </w:tcPr>
    </w:tblStylePr>
    <w:tblStylePr w:type="firstCol">
      <w:rPr>
        <w:b/>
        <w:bCs/>
      </w:rPr>
    </w:tblStylePr>
    <w:tblStylePr w:type="lastCol">
      <w:rPr>
        <w:b/>
        <w:bCs/>
      </w:rPr>
    </w:tblStylePr>
    <w:tblStylePr w:type="band1Vert">
      <w:tblPr/>
      <w:tcPr>
        <w:shd w:color="auto" w:fill="B5B9F7" w:themeFill="accent1" w:themeFillTint="33" w:val="clear"/>
      </w:tcPr>
    </w:tblStylePr>
    <w:tblStylePr w:type="band1Horz">
      <w:tblPr/>
      <w:tcPr>
        <w:shd w:color="auto" w:fill="B5B9F7" w:themeFill="accent1" w:themeFillTint="33" w:val="clear"/>
      </w:tcPr>
    </w:tblStylePr>
  </w:style>
  <w:style w:styleId="GridTable4-Accent3" w:type="table">
    <w:name w:val="Grid Table 4 Accent 3"/>
    <w:basedOn w:val="TableNormal"/>
    <w:uiPriority w:val="49"/>
    <w:rsid w:val="009A25EE"/>
    <w:pPr>
      <w:spacing w:after="0" w:line="240" w:lineRule="auto"/>
    </w:pPr>
    <w:tblPr>
      <w:tblStyleRowBandSize w:val="1"/>
      <w:tblStyleColBandSize w:val="1"/>
      <w:tblBorders>
        <w:top w:color="2230E7" w:space="0" w:sz="4" w:themeColor="accent3" w:themeTint="99" w:val="single"/>
        <w:left w:color="2230E7" w:space="0" w:sz="4" w:themeColor="accent3" w:themeTint="99" w:val="single"/>
        <w:bottom w:color="2230E7" w:space="0" w:sz="4" w:themeColor="accent3" w:themeTint="99" w:val="single"/>
        <w:right w:color="2230E7" w:space="0" w:sz="4" w:themeColor="accent3" w:themeTint="99" w:val="single"/>
        <w:insideH w:color="2230E7" w:space="0" w:sz="4" w:themeColor="accent3" w:themeTint="99" w:val="single"/>
        <w:insideV w:color="2230E7" w:space="0" w:sz="4" w:themeColor="accent3" w:themeTint="99" w:val="single"/>
      </w:tblBorders>
    </w:tblPr>
    <w:tblStylePr w:type="firstRow">
      <w:rPr>
        <w:b/>
        <w:bCs/>
        <w:color w:themeColor="background1" w:val="FFFFFF"/>
      </w:rPr>
      <w:tblPr/>
      <w:tcPr>
        <w:tcBorders>
          <w:top w:color="0A105D" w:space="0" w:sz="4" w:themeColor="accent3" w:val="single"/>
          <w:left w:color="0A105D" w:space="0" w:sz="4" w:themeColor="accent3" w:val="single"/>
          <w:bottom w:color="0A105D" w:space="0" w:sz="4" w:themeColor="accent3" w:val="single"/>
          <w:right w:color="0A105D" w:space="0" w:sz="4" w:themeColor="accent3" w:val="single"/>
          <w:insideH w:val="nil"/>
          <w:insideV w:val="nil"/>
        </w:tcBorders>
        <w:shd w:color="auto" w:fill="0A105D" w:themeFill="accent3" w:val="clear"/>
      </w:tcPr>
    </w:tblStylePr>
    <w:tblStylePr w:type="lastRow">
      <w:rPr>
        <w:b/>
        <w:bCs/>
      </w:rPr>
      <w:tblPr/>
      <w:tcPr>
        <w:tcBorders>
          <w:top w:color="0A105D" w:space="0" w:sz="4" w:themeColor="accent3" w:val="double"/>
        </w:tcBorders>
      </w:tcPr>
    </w:tblStylePr>
    <w:tblStylePr w:type="firstCol">
      <w:rPr>
        <w:b/>
        <w:bCs/>
      </w:rPr>
    </w:tblStylePr>
    <w:tblStylePr w:type="lastCol">
      <w:rPr>
        <w:b/>
        <w:bCs/>
      </w:rPr>
    </w:tblStylePr>
    <w:tblStylePr w:type="band1Vert">
      <w:tblPr/>
      <w:tcPr>
        <w:shd w:color="auto" w:fill="B5B9F7" w:themeFill="accent3" w:themeFillTint="33" w:val="clear"/>
      </w:tcPr>
    </w:tblStylePr>
    <w:tblStylePr w:type="band1Horz">
      <w:tblPr/>
      <w:tcPr>
        <w:shd w:color="auto" w:fill="B5B9F7" w:themeFill="accent3" w:themeFillTint="33" w:val="clear"/>
      </w:tcPr>
    </w:tblStylePr>
  </w:style>
  <w:style w:styleId="GridTable4-Accent4" w:type="table">
    <w:name w:val="Grid Table 4 Accent 4"/>
    <w:basedOn w:val="TableNormal"/>
    <w:uiPriority w:val="49"/>
    <w:rsid w:val="009A25EE"/>
    <w:pPr>
      <w:spacing w:after="0" w:line="240" w:lineRule="auto"/>
    </w:pPr>
    <w:tblPr>
      <w:tblStyleRowBandSize w:val="1"/>
      <w:tblStyleColBandSize w:val="1"/>
      <w:tblBorders>
        <w:top w:color="9EDAFA" w:space="0" w:sz="4" w:themeColor="accent4" w:themeTint="99" w:val="single"/>
        <w:left w:color="9EDAFA" w:space="0" w:sz="4" w:themeColor="accent4" w:themeTint="99" w:val="single"/>
        <w:bottom w:color="9EDAFA" w:space="0" w:sz="4" w:themeColor="accent4" w:themeTint="99" w:val="single"/>
        <w:right w:color="9EDAFA" w:space="0" w:sz="4" w:themeColor="accent4" w:themeTint="99" w:val="single"/>
        <w:insideH w:color="9EDAFA" w:space="0" w:sz="4" w:themeColor="accent4" w:themeTint="99" w:val="single"/>
        <w:insideV w:color="9EDAFA" w:space="0" w:sz="4" w:themeColor="accent4" w:themeTint="99" w:val="single"/>
      </w:tblBorders>
    </w:tblPr>
    <w:tblStylePr w:type="firstRow">
      <w:rPr>
        <w:b/>
        <w:bCs/>
        <w:color w:themeColor="background1" w:val="FFFFFF"/>
      </w:rPr>
      <w:tblPr/>
      <w:tcPr>
        <w:tcBorders>
          <w:top w:color="5EC2F7" w:space="0" w:sz="4" w:themeColor="accent4" w:val="single"/>
          <w:left w:color="5EC2F7" w:space="0" w:sz="4" w:themeColor="accent4" w:val="single"/>
          <w:bottom w:color="5EC2F7" w:space="0" w:sz="4" w:themeColor="accent4" w:val="single"/>
          <w:right w:color="5EC2F7" w:space="0" w:sz="4" w:themeColor="accent4" w:val="single"/>
          <w:insideH w:val="nil"/>
          <w:insideV w:val="nil"/>
        </w:tcBorders>
        <w:shd w:color="auto" w:fill="5EC2F7" w:themeFill="accent4" w:val="clear"/>
      </w:tcPr>
    </w:tblStylePr>
    <w:tblStylePr w:type="lastRow">
      <w:rPr>
        <w:b/>
        <w:bCs/>
      </w:rPr>
      <w:tblPr/>
      <w:tcPr>
        <w:tcBorders>
          <w:top w:color="5EC2F7" w:space="0" w:sz="4" w:themeColor="accent4" w:val="double"/>
        </w:tcBorders>
      </w:tcPr>
    </w:tblStylePr>
    <w:tblStylePr w:type="firstCol">
      <w:rPr>
        <w:b/>
        <w:bCs/>
      </w:rPr>
    </w:tblStylePr>
    <w:tblStylePr w:type="lastCol">
      <w:rPr>
        <w:b/>
        <w:bCs/>
      </w:rPr>
    </w:tblStylePr>
    <w:tblStylePr w:type="band1Vert">
      <w:tblPr/>
      <w:tcPr>
        <w:shd w:color="auto" w:fill="DEF2FD" w:themeFill="accent4" w:themeFillTint="33" w:val="clear"/>
      </w:tcPr>
    </w:tblStylePr>
    <w:tblStylePr w:type="band1Horz">
      <w:tblPr/>
      <w:tcPr>
        <w:shd w:color="auto" w:fill="DEF2FD" w:themeFill="accent4" w:themeFillTint="33" w:val="clear"/>
      </w:tcPr>
    </w:tblStylePr>
  </w:style>
  <w:style w:styleId="GridTable4-Accent2" w:type="table">
    <w:name w:val="Grid Table 4 Accent 2"/>
    <w:basedOn w:val="TableNormal"/>
    <w:uiPriority w:val="49"/>
    <w:rsid w:val="009A25EE"/>
    <w:pPr>
      <w:spacing w:after="0" w:line="240" w:lineRule="auto"/>
    </w:pPr>
    <w:tblPr>
      <w:tblStyleRowBandSize w:val="1"/>
      <w:tblStyleColBandSize w:val="1"/>
      <w:tblBorders>
        <w:top w:color="3948F4" w:space="0" w:sz="4" w:themeColor="accent2" w:themeTint="99" w:val="single"/>
        <w:left w:color="3948F4" w:space="0" w:sz="4" w:themeColor="accent2" w:themeTint="99" w:val="single"/>
        <w:bottom w:color="3948F4" w:space="0" w:sz="4" w:themeColor="accent2" w:themeTint="99" w:val="single"/>
        <w:right w:color="3948F4" w:space="0" w:sz="4" w:themeColor="accent2" w:themeTint="99" w:val="single"/>
        <w:insideH w:color="3948F4" w:space="0" w:sz="4" w:themeColor="accent2" w:themeTint="99" w:val="single"/>
        <w:insideV w:color="3948F4" w:space="0" w:sz="4" w:themeColor="accent2" w:themeTint="99" w:val="single"/>
      </w:tblBorders>
    </w:tblPr>
    <w:tblStylePr w:type="firstRow">
      <w:rPr>
        <w:b/>
        <w:bCs/>
        <w:color w:themeColor="background1" w:val="FFFFFF"/>
      </w:rPr>
      <w:tblPr/>
      <w:tcPr>
        <w:tcBorders>
          <w:top w:color="08149C" w:space="0" w:sz="4" w:themeColor="accent2" w:val="single"/>
          <w:left w:color="08149C" w:space="0" w:sz="4" w:themeColor="accent2" w:val="single"/>
          <w:bottom w:color="08149C" w:space="0" w:sz="4" w:themeColor="accent2" w:val="single"/>
          <w:right w:color="08149C" w:space="0" w:sz="4" w:themeColor="accent2" w:val="single"/>
          <w:insideH w:val="nil"/>
          <w:insideV w:val="nil"/>
        </w:tcBorders>
        <w:shd w:color="auto" w:fill="08149C" w:themeFill="accent2" w:val="clear"/>
      </w:tcPr>
    </w:tblStylePr>
    <w:tblStylePr w:type="lastRow">
      <w:rPr>
        <w:b/>
        <w:bCs/>
      </w:rPr>
      <w:tblPr/>
      <w:tcPr>
        <w:tcBorders>
          <w:top w:color="08149C" w:space="0" w:sz="4" w:themeColor="accent2" w:val="double"/>
        </w:tcBorders>
      </w:tcPr>
    </w:tblStylePr>
    <w:tblStylePr w:type="firstCol">
      <w:rPr>
        <w:b/>
        <w:bCs/>
      </w:rPr>
    </w:tblStylePr>
    <w:tblStylePr w:type="lastCol">
      <w:rPr>
        <w:b/>
        <w:bCs/>
      </w:rPr>
    </w:tblStylePr>
    <w:tblStylePr w:type="band1Vert">
      <w:tblPr/>
      <w:tcPr>
        <w:shd w:color="auto" w:fill="BDC1FB" w:themeFill="accent2" w:themeFillTint="33" w:val="clear"/>
      </w:tcPr>
    </w:tblStylePr>
    <w:tblStylePr w:type="band1Horz">
      <w:tblPr/>
      <w:tcPr>
        <w:shd w:color="auto" w:fill="BDC1FB" w:themeFill="accent2" w:themeFillTint="33" w:val="clear"/>
      </w:tcPr>
    </w:tblStylePr>
  </w:style>
  <w:style w:styleId="GridTable5Dark" w:type="table">
    <w:name w:val="Grid Table 5 Dark"/>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tex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tex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tex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tex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text1" w:val="clear"/>
      </w:tcPr>
    </w:tblStylePr>
    <w:tblStylePr w:type="band1Vert">
      <w:tblPr/>
      <w:tcPr>
        <w:shd w:color="auto" w:fill="999999" w:themeFill="text1" w:themeFillTint="66" w:val="clear"/>
      </w:tcPr>
    </w:tblStylePr>
    <w:tblStylePr w:type="band1Horz">
      <w:tblPr/>
      <w:tcPr>
        <w:shd w:color="auto" w:fill="999999" w:themeFill="text1" w:themeFillTint="66" w:val="clear"/>
      </w:tcPr>
    </w:tblStylePr>
  </w:style>
  <w:style w:styleId="GridTable5Dark-Accent2" w:type="table">
    <w:name w:val="Grid Table 5 Dark Accent 2"/>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DC1FB" w:themeFill="accent2"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8149C" w:themeFill="accent2"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8149C" w:themeFill="accent2"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8149C" w:themeFill="accent2"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8149C" w:themeFill="accent2" w:val="clear"/>
      </w:tcPr>
    </w:tblStylePr>
    <w:tblStylePr w:type="band1Vert">
      <w:tblPr/>
      <w:tcPr>
        <w:shd w:color="auto" w:fill="7B84F8" w:themeFill="accent2" w:themeFillTint="66" w:val="clear"/>
      </w:tcPr>
    </w:tblStylePr>
    <w:tblStylePr w:type="band1Horz">
      <w:tblPr/>
      <w:tcPr>
        <w:shd w:color="auto" w:fill="7B84F8" w:themeFill="accent2" w:themeFillTint="66" w:val="clear"/>
      </w:tcPr>
    </w:tblStylePr>
  </w:style>
  <w:style w:styleId="GridTable5Dark-Accent3" w:type="table">
    <w:name w:val="Grid Table 5 Dark Accent 3"/>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3"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3"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3"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3"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3" w:val="clear"/>
      </w:tcPr>
    </w:tblStylePr>
    <w:tblStylePr w:type="band1Vert">
      <w:tblPr/>
      <w:tcPr>
        <w:shd w:color="auto" w:fill="6B75EF" w:themeFill="accent3" w:themeFillTint="66" w:val="clear"/>
      </w:tcPr>
    </w:tblStylePr>
    <w:tblStylePr w:type="band1Horz">
      <w:tblPr/>
      <w:tcPr>
        <w:shd w:color="auto" w:fill="6B75EF" w:themeFill="accent3" w:themeFillTint="66" w:val="clear"/>
      </w:tcPr>
    </w:tblStylePr>
  </w:style>
  <w:style w:styleId="GridTable5Dark-Accent6" w:type="table">
    <w:name w:val="Grid Table 5 Dark Accent 6"/>
    <w:basedOn w:val="TableNormal"/>
    <w:uiPriority w:val="50"/>
    <w:rsid w:val="009A25EE"/>
    <w:pPr>
      <w:spacing w:after="0" w:line="240" w:lineRule="auto"/>
    </w:pPr>
    <w:rPr>
      <w:color w:themeColor="background1" w:themeShade="D9" w:val="D9D9D9"/>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6"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6"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6"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6"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6" w:val="clear"/>
      </w:tcPr>
    </w:tblStylePr>
    <w:tblStylePr w:type="band1Vert">
      <w:tblPr/>
      <w:tcPr>
        <w:shd w:color="auto" w:fill="6B75EF" w:themeFill="accent6" w:themeFillTint="66" w:val="clear"/>
      </w:tcPr>
    </w:tblStylePr>
    <w:tblStylePr w:type="band1Horz">
      <w:tblPr/>
      <w:tcPr>
        <w:shd w:color="auto" w:fill="6B75EF" w:themeFill="accent6" w:themeFillTint="66" w:val="clear"/>
      </w:tcPr>
    </w:tblStylePr>
  </w:style>
  <w:style w:styleId="GridTable1Light-Accent1" w:type="table">
    <w:name w:val="Grid Table 1 Light Accent 1"/>
    <w:aliases w:val="Table 4 - EDPB"/>
    <w:basedOn w:val="TableNormal"/>
    <w:uiPriority w:val="46"/>
    <w:rsid w:val="009A25EE"/>
    <w:pPr>
      <w:spacing w:after="0" w:line="240" w:lineRule="auto"/>
    </w:pPr>
    <w:tblPr>
      <w:tblStyleRowBandSize w:val="1"/>
      <w:tblStyleColBandSize w:val="1"/>
      <w:tblBorders>
        <w:top w:color="6B75EF" w:space="0" w:sz="4" w:themeColor="accent1" w:themeTint="66" w:val="single"/>
        <w:left w:color="6B75EF" w:space="0" w:sz="4" w:themeColor="accent1" w:themeTint="66" w:val="single"/>
        <w:bottom w:color="6B75EF" w:space="0" w:sz="4" w:themeColor="accent1" w:themeTint="66" w:val="single"/>
        <w:right w:color="6B75EF" w:space="0" w:sz="4" w:themeColor="accent1" w:themeTint="66" w:val="single"/>
        <w:insideH w:color="6B75EF" w:space="0" w:sz="4" w:themeColor="accent1" w:themeTint="66" w:val="single"/>
        <w:insideV w:color="6B75EF" w:space="0" w:sz="4" w:themeColor="accent1" w:themeTint="66" w:val="single"/>
      </w:tblBorders>
    </w:tblPr>
    <w:tblStylePr w:type="firstRow">
      <w:rPr>
        <w:b/>
        <w:bCs/>
      </w:rPr>
      <w:tblPr/>
      <w:tcPr>
        <w:tcBorders>
          <w:bottom w:color="2230E7" w:space="0" w:sz="12" w:themeColor="accent1" w:themeTint="99" w:val="single"/>
        </w:tcBorders>
      </w:tcPr>
    </w:tblStylePr>
    <w:tblStylePr w:type="lastRow">
      <w:rPr>
        <w:b/>
        <w:bCs/>
      </w:rPr>
      <w:tblPr/>
      <w:tcPr>
        <w:tcBorders>
          <w:top w:color="2230E7" w:space="0" w:sz="2" w:themeColor="accent1" w:themeTint="99" w:val="double"/>
        </w:tcBorders>
      </w:tcPr>
    </w:tblStylePr>
    <w:tblStylePr w:type="firstCol">
      <w:rPr>
        <w:b/>
        <w:bCs/>
      </w:rPr>
    </w:tblStylePr>
    <w:tblStylePr w:type="lastCol">
      <w:rPr>
        <w:b/>
        <w:bCs/>
      </w:rPr>
    </w:tblStylePr>
  </w:style>
  <w:style w:styleId="GridTable1Light-Accent3" w:type="table">
    <w:name w:val="Grid Table 1 Light Accent 3"/>
    <w:basedOn w:val="TableNormal"/>
    <w:uiPriority w:val="46"/>
    <w:rsid w:val="009A25EE"/>
    <w:pPr>
      <w:spacing w:after="0" w:line="240" w:lineRule="auto"/>
    </w:pPr>
    <w:tblPr>
      <w:tblStyleRowBandSize w:val="1"/>
      <w:tblStyleColBandSize w:val="1"/>
      <w:tblBorders>
        <w:top w:color="6B75EF" w:space="0" w:sz="4" w:themeColor="accent3" w:themeTint="66" w:val="single"/>
        <w:left w:color="6B75EF" w:space="0" w:sz="4" w:themeColor="accent3" w:themeTint="66" w:val="single"/>
        <w:bottom w:color="6B75EF" w:space="0" w:sz="4" w:themeColor="accent3" w:themeTint="66" w:val="single"/>
        <w:right w:color="6B75EF" w:space="0" w:sz="4" w:themeColor="accent3" w:themeTint="66" w:val="single"/>
        <w:insideH w:color="6B75EF" w:space="0" w:sz="4" w:themeColor="accent3" w:themeTint="66" w:val="single"/>
        <w:insideV w:color="6B75EF" w:space="0" w:sz="4" w:themeColor="accent3" w:themeTint="66" w:val="single"/>
      </w:tblBorders>
    </w:tblPr>
    <w:tblStylePr w:type="firstRow">
      <w:rPr>
        <w:b/>
        <w:bCs/>
      </w:rPr>
      <w:tblPr/>
      <w:tcPr>
        <w:tcBorders>
          <w:bottom w:color="2230E7" w:space="0" w:sz="12" w:themeColor="accent3" w:themeTint="99" w:val="single"/>
        </w:tcBorders>
      </w:tcPr>
    </w:tblStylePr>
    <w:tblStylePr w:type="lastRow">
      <w:rPr>
        <w:b/>
        <w:bCs/>
      </w:rPr>
      <w:tblPr/>
      <w:tcPr>
        <w:tcBorders>
          <w:top w:color="2230E7" w:space="0" w:sz="2" w:themeColor="accent3" w:themeTint="99" w:val="double"/>
        </w:tcBorders>
      </w:tcPr>
    </w:tblStylePr>
    <w:tblStylePr w:type="firstCol">
      <w:rPr>
        <w:b/>
        <w:bCs/>
      </w:rPr>
    </w:tblStylePr>
    <w:tblStylePr w:type="lastCol">
      <w:rPr>
        <w:b/>
        <w:bCs/>
      </w:rPr>
    </w:tblStylePr>
  </w:style>
  <w:style w:styleId="GridTable3-Accent5" w:type="table">
    <w:name w:val="Grid Table 3 Accent 5"/>
    <w:basedOn w:val="TableNormal"/>
    <w:uiPriority w:val="48"/>
    <w:rsid w:val="009A25EE"/>
    <w:pPr>
      <w:spacing w:after="0" w:line="240" w:lineRule="auto"/>
    </w:pPr>
    <w:tblPr>
      <w:tblStyleRowBandSize w:val="1"/>
      <w:tblStyleColBandSize w:val="1"/>
      <w:tblBorders>
        <w:top w:color="666666" w:space="0" w:sz="4" w:themeColor="accent5" w:themeTint="99" w:val="single"/>
        <w:left w:color="666666" w:space="0" w:sz="4" w:themeColor="accent5" w:themeTint="99" w:val="single"/>
        <w:bottom w:color="666666" w:space="0" w:sz="4" w:themeColor="accent5" w:themeTint="99" w:val="single"/>
        <w:right w:color="666666" w:space="0" w:sz="4" w:themeColor="accent5" w:themeTint="99" w:val="single"/>
        <w:insideH w:color="666666" w:space="0" w:sz="4" w:themeColor="accent5" w:themeTint="99" w:val="single"/>
        <w:insideV w:color="666666" w:space="0" w:sz="4" w:themeColor="accent5" w:themeTint="99" w:val="single"/>
      </w:tblBorders>
    </w:tblPr>
    <w:tblStylePr w:type="firstRow">
      <w:rPr>
        <w:b/>
        <w:bCs/>
        <w:i w:val="0"/>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val="0"/>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accent5" w:themeFillTint="33" w:val="clear"/>
      </w:tcPr>
    </w:tblStylePr>
    <w:tblStylePr w:type="band1Horz">
      <w:tblPr/>
      <w:tcPr>
        <w:shd w:color="auto" w:fill="CCCCCC" w:themeFill="accent5" w:themeFillTint="33" w:val="clear"/>
      </w:tcPr>
    </w:tblStylePr>
    <w:tblStylePr w:type="neCell">
      <w:tblPr/>
      <w:tcPr>
        <w:tcBorders>
          <w:bottom w:color="666666" w:space="0" w:sz="4" w:themeColor="accent5" w:themeTint="99" w:val="single"/>
        </w:tcBorders>
      </w:tcPr>
    </w:tblStylePr>
    <w:tblStylePr w:type="nwCell">
      <w:tblPr/>
      <w:tcPr>
        <w:tcBorders>
          <w:bottom w:color="666666" w:space="0" w:sz="4" w:themeColor="accent5" w:themeTint="99" w:val="single"/>
        </w:tcBorders>
      </w:tcPr>
    </w:tblStylePr>
    <w:tblStylePr w:type="seCell">
      <w:tblPr/>
      <w:tcPr>
        <w:tcBorders>
          <w:top w:color="666666" w:space="0" w:sz="4" w:themeColor="accent5" w:themeTint="99" w:val="single"/>
        </w:tcBorders>
      </w:tcPr>
    </w:tblStylePr>
    <w:tblStylePr w:type="swCell">
      <w:tblPr/>
      <w:tcPr>
        <w:tcBorders>
          <w:top w:color="666666" w:space="0" w:sz="4" w:themeColor="accent5" w:themeTint="99" w:val="single"/>
        </w:tcBorders>
      </w:tcPr>
    </w:tblStylePr>
  </w:style>
  <w:style w:styleId="GridTable7Colorful-Accent3" w:type="table">
    <w:name w:val="Grid Table 7 Colorful Accent 3"/>
    <w:basedOn w:val="TableNormal"/>
    <w:uiPriority w:val="52"/>
    <w:rsid w:val="009A25EE"/>
    <w:pPr>
      <w:spacing w:after="0" w:line="240" w:lineRule="auto"/>
    </w:pPr>
    <w:rPr>
      <w:color w:themeColor="accent3" w:themeShade="BF" w:val="070B45"/>
    </w:rPr>
    <w:tblPr>
      <w:tblStyleRowBandSize w:val="1"/>
      <w:tblStyleColBandSize w:val="1"/>
      <w:tblBorders>
        <w:top w:color="2230E7" w:space="0" w:sz="4" w:themeColor="accent3" w:themeTint="99" w:val="single"/>
        <w:left w:color="2230E7" w:space="0" w:sz="4" w:themeColor="accent3" w:themeTint="99" w:val="single"/>
        <w:bottom w:color="2230E7" w:space="0" w:sz="4" w:themeColor="accent3" w:themeTint="99" w:val="single"/>
        <w:right w:color="2230E7" w:space="0" w:sz="4" w:themeColor="accent3" w:themeTint="99" w:val="single"/>
        <w:insideH w:color="2230E7" w:space="0" w:sz="4" w:themeColor="accent3" w:themeTint="99" w:val="single"/>
        <w:insideV w:color="2230E7" w:space="0" w:sz="4" w:themeColor="accent3"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B5B9F7" w:themeFill="accent3" w:themeFillTint="33" w:val="clear"/>
      </w:tcPr>
    </w:tblStylePr>
    <w:tblStylePr w:type="band1Horz">
      <w:tblPr/>
      <w:tcPr>
        <w:shd w:color="auto" w:fill="B5B9F7" w:themeFill="accent3" w:themeFillTint="33" w:val="clear"/>
      </w:tcPr>
    </w:tblStylePr>
    <w:tblStylePr w:type="neCell">
      <w:tblPr/>
      <w:tcPr>
        <w:tcBorders>
          <w:bottom w:color="2230E7" w:space="0" w:sz="4" w:themeColor="accent3" w:themeTint="99" w:val="single"/>
        </w:tcBorders>
      </w:tcPr>
    </w:tblStylePr>
    <w:tblStylePr w:type="nwCell">
      <w:tblPr/>
      <w:tcPr>
        <w:tcBorders>
          <w:bottom w:color="2230E7" w:space="0" w:sz="4" w:themeColor="accent3" w:themeTint="99" w:val="single"/>
        </w:tcBorders>
      </w:tcPr>
    </w:tblStylePr>
    <w:tblStylePr w:type="seCell">
      <w:tblPr/>
      <w:tcPr>
        <w:tcBorders>
          <w:top w:color="2230E7" w:space="0" w:sz="4" w:themeColor="accent3" w:themeTint="99" w:val="single"/>
        </w:tcBorders>
      </w:tcPr>
    </w:tblStylePr>
    <w:tblStylePr w:type="swCell">
      <w:tblPr/>
      <w:tcPr>
        <w:tcBorders>
          <w:top w:color="2230E7" w:space="0" w:sz="4" w:themeColor="accent3" w:themeTint="99" w:val="single"/>
        </w:tcBorders>
      </w:tcPr>
    </w:tblStylePr>
  </w:style>
  <w:style w:styleId="GridTable5Dark-Accent5" w:type="table">
    <w:name w:val="Grid Table 5 Dark Accent 5"/>
    <w:basedOn w:val="TableNormal"/>
    <w:uiPriority w:val="50"/>
    <w:rsid w:val="009A25EE"/>
    <w:pPr>
      <w:spacing w:after="0" w:line="240" w:lineRule="auto"/>
    </w:pPr>
    <w:rPr>
      <w:color w:themeColor="background1" w:val="FFFFFF"/>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accent5"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accent5"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accent5"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accent5"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accent5" w:val="clear"/>
      </w:tcPr>
    </w:tblStylePr>
    <w:tblStylePr w:type="band1Vert">
      <w:tblPr/>
      <w:tcPr>
        <w:shd w:color="auto" w:fill="999999" w:themeFill="accent5" w:themeFillTint="66" w:val="clear"/>
      </w:tcPr>
    </w:tblStylePr>
    <w:tblStylePr w:type="band1Horz">
      <w:tblPr/>
      <w:tcPr>
        <w:shd w:color="auto" w:fill="999999" w:themeFill="accent5" w:themeFillTint="66" w:val="clear"/>
      </w:tcPr>
    </w:tblStylePr>
  </w:style>
  <w:style w:customStyle="1" w:styleId="AnnexH1EDPB" w:type="paragraph">
    <w:name w:val="Annex H1 EDPB"/>
    <w:basedOn w:val="Heading1"/>
    <w:link w:val="AnnexH1EDPBChar"/>
    <w:uiPriority w:val="2"/>
    <w:qFormat/>
    <w:rsid w:val="00002024"/>
    <w:pPr>
      <w:numPr>
        <w:numId w:val="6"/>
      </w:numPr>
    </w:pPr>
  </w:style>
  <w:style w:styleId="GridTable1Light-Accent4" w:type="table">
    <w:name w:val="Grid Table 1 Light Accent 4"/>
    <w:basedOn w:val="TableNormal"/>
    <w:uiPriority w:val="46"/>
    <w:rsid w:val="00E80001"/>
    <w:pPr>
      <w:spacing w:after="0" w:line="240" w:lineRule="auto"/>
    </w:pPr>
    <w:tblPr>
      <w:tblStyleRowBandSize w:val="1"/>
      <w:tblStyleColBandSize w:val="1"/>
      <w:tblBorders>
        <w:top w:color="BEE6FB" w:space="0" w:sz="4" w:themeColor="accent4" w:themeTint="66" w:val="single"/>
        <w:left w:color="BEE6FB" w:space="0" w:sz="4" w:themeColor="accent4" w:themeTint="66" w:val="single"/>
        <w:bottom w:color="BEE6FB" w:space="0" w:sz="4" w:themeColor="accent4" w:themeTint="66" w:val="single"/>
        <w:right w:color="BEE6FB" w:space="0" w:sz="4" w:themeColor="accent4" w:themeTint="66" w:val="single"/>
        <w:insideH w:color="BEE6FB" w:space="0" w:sz="4" w:themeColor="accent4" w:themeTint="66" w:val="single"/>
        <w:insideV w:color="BEE6FB" w:space="0" w:sz="4" w:themeColor="accent4" w:themeTint="66" w:val="single"/>
      </w:tblBorders>
    </w:tblPr>
    <w:tblStylePr w:type="firstRow">
      <w:rPr>
        <w:b/>
        <w:bCs/>
      </w:rPr>
      <w:tblPr/>
      <w:tcPr>
        <w:tcBorders>
          <w:bottom w:color="9EDAFA" w:space="0" w:sz="12" w:themeColor="accent4" w:themeTint="99" w:val="single"/>
        </w:tcBorders>
      </w:tcPr>
    </w:tblStylePr>
    <w:tblStylePr w:type="lastRow">
      <w:rPr>
        <w:b/>
        <w:bCs/>
      </w:rPr>
      <w:tblPr/>
      <w:tcPr>
        <w:tcBorders>
          <w:top w:color="9EDAFA" w:space="0" w:sz="2" w:themeColor="accent4" w:themeTint="99" w:val="double"/>
        </w:tcBorders>
      </w:tcPr>
    </w:tblStylePr>
    <w:tblStylePr w:type="firstCol">
      <w:rPr>
        <w:b/>
        <w:bCs/>
      </w:rPr>
    </w:tblStylePr>
    <w:tblStylePr w:type="lastCol">
      <w:rPr>
        <w:b/>
        <w:bCs/>
      </w:rPr>
    </w:tblStylePr>
  </w:style>
  <w:style w:customStyle="1" w:styleId="AnnexH1EDPBChar" w:type="character">
    <w:name w:val="Annex H1 EDPB Char"/>
    <w:basedOn w:val="Heading1Char"/>
    <w:link w:val="AnnexH1EDPB"/>
    <w:uiPriority w:val="2"/>
    <w:rsid w:val="00002024"/>
    <w:rPr>
      <w:rFonts w:asciiTheme="majorHAnsi" w:cstheme="majorBidi" w:eastAsiaTheme="majorEastAsia" w:hAnsiTheme="majorHAnsi"/>
      <w:b/>
      <w:color w:themeColor="accent1" w:val="0A105D"/>
      <w:spacing w:val="10"/>
      <w:sz w:val="32"/>
      <w:szCs w:val="64"/>
    </w:rPr>
  </w:style>
  <w:style w:styleId="GridTable1Light" w:type="table">
    <w:name w:val="Grid Table 1 Light"/>
    <w:basedOn w:val="TableNormal"/>
    <w:uiPriority w:val="46"/>
    <w:rsid w:val="00E80001"/>
    <w:pPr>
      <w:spacing w:after="0" w:line="240" w:lineRule="auto"/>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EDPBtable2" w:type="table">
    <w:name w:val="EDPB table 2"/>
    <w:basedOn w:val="TableNormal"/>
    <w:uiPriority w:val="99"/>
    <w:rsid w:val="00E80001"/>
    <w:pPr>
      <w:spacing w:after="0" w:line="240" w:lineRule="auto"/>
    </w:pPr>
    <w:tblPr/>
  </w:style>
  <w:style w:customStyle="1" w:styleId="EDPBH6tabletitle" w:type="paragraph">
    <w:name w:val="EDPB H6 table title"/>
    <w:basedOn w:val="Heading5"/>
    <w:uiPriority w:val="2"/>
    <w:rsid w:val="008C11D8"/>
  </w:style>
  <w:style w:customStyle="1" w:styleId="EDPBstyle1" w:type="table">
    <w:name w:val="EDPB style 1"/>
    <w:basedOn w:val="TableNormal"/>
    <w:uiPriority w:val="99"/>
    <w:rsid w:val="002E0587"/>
    <w:pPr>
      <w:spacing w:after="0" w:line="240" w:lineRule="auto"/>
    </w:pPr>
    <w:rPr>
      <w:sz w:val="22"/>
    </w:rPr>
    <w:tblPr/>
    <w:tcPr>
      <w:vAlign w:val="center"/>
    </w:tcPr>
    <w:tblStylePr w:type="firstRow">
      <w:pPr>
        <w:jc w:val="left"/>
      </w:pPr>
      <w:rPr>
        <w:rFonts w:ascii="Glory" w:hAnsi="Glory"/>
        <w:b/>
        <w:sz w:val="28"/>
      </w:rPr>
      <w:tblPr/>
      <w:tcPr>
        <w:tcBorders>
          <w:top w:val="nil"/>
          <w:left w:val="nil"/>
          <w:bottom w:color="08149C" w:space="0" w:sz="12" w:themeColor="accent2" w:val="single"/>
          <w:right w:val="nil"/>
          <w:insideH w:val="nil"/>
          <w:insideV w:val="nil"/>
        </w:tcBorders>
        <w:vAlign w:val="center"/>
      </w:tcPr>
    </w:tblStylePr>
  </w:style>
  <w:style w:styleId="CommentSubject" w:type="paragraph">
    <w:name w:val="annotation subject"/>
    <w:basedOn w:val="CommentText"/>
    <w:next w:val="CommentText"/>
    <w:link w:val="CommentSubjectChar"/>
    <w:uiPriority w:val="99"/>
    <w:rsid w:val="00791A24"/>
    <w:pPr>
      <w:spacing w:after="120" w:before="120"/>
      <w:jc w:val="both"/>
    </w:pPr>
    <w:rPr>
      <w:rFonts w:cs="Calibri"/>
      <w:b/>
      <w:bCs/>
      <w:color w:themeColor="text1" w:val="000000"/>
    </w:rPr>
  </w:style>
  <w:style w:customStyle="1" w:styleId="CommentSubjectChar" w:type="character">
    <w:name w:val="Comment Subject Char"/>
    <w:basedOn w:val="CommentTextChar"/>
    <w:link w:val="CommentSubject"/>
    <w:uiPriority w:val="99"/>
    <w:rsid w:val="00791A24"/>
    <w:rPr>
      <w:rFonts w:ascii="Glory" w:cs="Calibri" w:eastAsia="Times New Roman" w:hAnsi="Glory"/>
      <w:b/>
      <w:bCs/>
      <w:color w:themeColor="text1" w:val="000000"/>
      <w:sz w:val="20"/>
      <w:szCs w:val="20"/>
    </w:rPr>
  </w:style>
  <w:style w:customStyle="1" w:styleId="Grilledutableau1" w:type="table">
    <w:name w:val="Grille du tableau1"/>
    <w:basedOn w:val="TableNormal"/>
    <w:next w:val="TableGrid"/>
    <w:uiPriority w:val="59"/>
    <w:rsid w:val="009B0283"/>
    <w:pPr>
      <w:spacing w:after="0" w:line="240" w:lineRule="auto"/>
    </w:pPr>
    <w:rPr>
      <w:rFonts w:ascii="Verdana" w:eastAsiaTheme="minorHAnsi" w:hAnsi="Verdana"/>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fontstyle01" w:type="character">
    <w:name w:val="fontstyle01"/>
    <w:basedOn w:val="DefaultParagraphFont"/>
    <w:rsid w:val="009B0283"/>
    <w:rPr>
      <w:rFonts w:ascii="Times New Roman" w:cs="Times New Roman" w:hAnsi="Times New Roman" w:hint="default"/>
      <w:b w:val="0"/>
      <w:bCs w:val="0"/>
      <w:i w:val="0"/>
      <w:iCs w:val="0"/>
      <w:color w:val="000000"/>
      <w:sz w:val="24"/>
      <w:szCs w:val="24"/>
    </w:rPr>
  </w:style>
  <w:style w:styleId="FollowedHyperlink" w:type="character">
    <w:name w:val="FollowedHyperlink"/>
    <w:basedOn w:val="DefaultParagraphFont"/>
    <w:uiPriority w:val="99"/>
    <w:unhideWhenUsed/>
    <w:rsid w:val="009B0283"/>
    <w:rPr>
      <w:color w:themeColor="followedHyperlink" w:val="5EC2F7"/>
      <w:u w:val="single"/>
    </w:rPr>
  </w:style>
  <w:style w:styleId="Revision" w:type="paragraph">
    <w:name w:val="Revision"/>
    <w:hidden/>
    <w:uiPriority w:val="99"/>
    <w:semiHidden/>
    <w:rsid w:val="009B0283"/>
    <w:pPr>
      <w:spacing w:after="0" w:line="240" w:lineRule="auto"/>
    </w:pPr>
    <w:rPr>
      <w:rFonts w:eastAsiaTheme="minorHAnsi"/>
      <w:sz w:val="22"/>
      <w:szCs w:val="22"/>
      <w:lang w:val="fr-FR"/>
    </w:rPr>
  </w:style>
  <w:style w:styleId="EndnoteText" w:type="paragraph">
    <w:name w:val="endnote text"/>
    <w:basedOn w:val="Normal"/>
    <w:link w:val="EndnoteTextChar"/>
    <w:uiPriority w:val="99"/>
    <w:unhideWhenUsed/>
    <w:rsid w:val="009B0283"/>
    <w:pPr>
      <w:spacing w:after="0" w:before="0" w:line="240" w:lineRule="auto"/>
      <w:jc w:val="left"/>
    </w:pPr>
    <w:rPr>
      <w:rFonts w:asciiTheme="minorHAnsi" w:cstheme="minorBidi" w:eastAsiaTheme="minorHAnsi" w:hAnsiTheme="minorHAnsi"/>
      <w:color w:val="auto"/>
      <w:sz w:val="20"/>
      <w:szCs w:val="20"/>
    </w:rPr>
  </w:style>
  <w:style w:customStyle="1" w:styleId="EndnoteTextChar" w:type="character">
    <w:name w:val="Endnote Text Char"/>
    <w:basedOn w:val="DefaultParagraphFont"/>
    <w:link w:val="EndnoteText"/>
    <w:uiPriority w:val="99"/>
    <w:rsid w:val="009B0283"/>
    <w:rPr>
      <w:rFonts w:eastAsiaTheme="minorHAnsi"/>
      <w:sz w:val="20"/>
      <w:szCs w:val="20"/>
    </w:rPr>
  </w:style>
  <w:style w:styleId="EndnoteReference" w:type="character">
    <w:name w:val="endnote reference"/>
    <w:basedOn w:val="DefaultParagraphFont"/>
    <w:uiPriority w:val="99"/>
    <w:unhideWhenUsed/>
    <w:rsid w:val="009B0283"/>
    <w:rPr>
      <w:vertAlign w:val="superscript"/>
    </w:rPr>
  </w:style>
  <w:style w:customStyle="1" w:styleId="ind" w:type="character">
    <w:name w:val="ind"/>
    <w:basedOn w:val="DefaultParagraphFont"/>
    <w:rsid w:val="009B0283"/>
  </w:style>
  <w:style w:customStyle="1" w:styleId="PreambuleTheEDPB" w:type="paragraph">
    <w:name w:val="Preambule The EDPB ..."/>
    <w:basedOn w:val="Normal"/>
    <w:next w:val="Normal"/>
    <w:qFormat/>
    <w:rsid w:val="009B0283"/>
    <w:pPr>
      <w:spacing w:after="480" w:before="0"/>
    </w:pPr>
    <w:rPr>
      <w:rFonts w:asciiTheme="minorHAnsi" w:cstheme="minorBidi" w:eastAsiaTheme="minorHAnsi" w:hAnsiTheme="minorHAnsi"/>
      <w:b/>
      <w:color w:val="auto"/>
      <w:sz w:val="28"/>
      <w:szCs w:val="28"/>
    </w:rPr>
  </w:style>
  <w:style w:customStyle="1" w:styleId="Preambulehasadopted" w:type="paragraph">
    <w:name w:val="Preambule 'has adopted'"/>
    <w:basedOn w:val="Normal"/>
    <w:next w:val="Normal"/>
    <w:qFormat/>
    <w:rsid w:val="009B0283"/>
    <w:pPr>
      <w:spacing w:after="480" w:before="480"/>
    </w:pPr>
    <w:rPr>
      <w:rFonts w:asciiTheme="minorHAnsi" w:cstheme="minorBidi" w:eastAsiaTheme="minorHAnsi" w:hAnsiTheme="minorHAnsi"/>
      <w:b/>
      <w:caps/>
      <w:color w:val="auto"/>
      <w:sz w:val="24"/>
    </w:rPr>
  </w:style>
  <w:style w:customStyle="1" w:styleId="Annexheading1" w:type="paragraph">
    <w:name w:val="Annex heading 1"/>
    <w:basedOn w:val="Heading1"/>
    <w:link w:val="Annexheading1Char"/>
    <w:qFormat/>
    <w:rsid w:val="009B0283"/>
    <w:pPr>
      <w:keepNext/>
      <w:keepLines/>
      <w:numPr>
        <w:numId w:val="0"/>
      </w:numPr>
      <w:spacing w:after="240" w:line="259" w:lineRule="auto"/>
    </w:pPr>
    <w:rPr>
      <w:b w:val="0"/>
      <w:caps/>
      <w:color w:themeColor="accent1" w:themeShade="BF" w:val="070B45"/>
      <w:szCs w:val="32"/>
    </w:rPr>
  </w:style>
  <w:style w:customStyle="1" w:styleId="Annexheading1Char" w:type="character">
    <w:name w:val="Annex heading 1 Char"/>
    <w:basedOn w:val="Heading1Char"/>
    <w:link w:val="Annexheading1"/>
    <w:rsid w:val="009B0283"/>
    <w:rPr>
      <w:rFonts w:asciiTheme="majorHAnsi" w:cstheme="majorBidi" w:eastAsiaTheme="majorEastAsia" w:hAnsiTheme="majorHAnsi"/>
      <w:b w:val="0"/>
      <w:caps/>
      <w:color w:themeColor="accent1" w:themeShade="BF" w:val="070B45"/>
      <w:spacing w:val="10"/>
      <w:sz w:val="32"/>
      <w:szCs w:val="32"/>
    </w:rPr>
  </w:style>
  <w:style w:customStyle="1" w:styleId="TableGrid1" w:type="table">
    <w:name w:val="Table Grid1"/>
    <w:basedOn w:val="TableNormal"/>
    <w:next w:val="TableGrid"/>
    <w:uiPriority w:val="59"/>
    <w:rsid w:val="009B0283"/>
    <w:pPr>
      <w:spacing w:after="0" w:line="240" w:lineRule="auto"/>
    </w:pPr>
    <w:rPr>
      <w:rFonts w:ascii="Verdana" w:eastAsiaTheme="minorHAnsi" w:hAnsi="Verdana"/>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Annexheading2" w:type="paragraph">
    <w:name w:val="Annex heading 2"/>
    <w:basedOn w:val="Heading2"/>
    <w:next w:val="Normal"/>
    <w:qFormat/>
    <w:rsid w:val="009B0283"/>
    <w:pPr>
      <w:numPr>
        <w:ilvl w:val="0"/>
        <w:numId w:val="0"/>
      </w:numPr>
      <w:spacing w:after="240" w:before="240" w:line="259" w:lineRule="auto"/>
    </w:pPr>
    <w:rPr>
      <w:b w:val="0"/>
      <w:color w:themeColor="accent1" w:themeShade="BF" w:val="070B45"/>
      <w:spacing w:val="0"/>
      <w:sz w:val="26"/>
      <w:szCs w:val="26"/>
    </w:rPr>
  </w:style>
  <w:style w:customStyle="1" w:styleId="UnnumberedEDPBParagraph" w:type="paragraph">
    <w:name w:val="Unnumbered EDPB Paragraph"/>
    <w:basedOn w:val="Normal"/>
    <w:qFormat/>
    <w:rsid w:val="009B0283"/>
    <w:pPr>
      <w:tabs>
        <w:tab w:pos="0" w:val="left"/>
      </w:tabs>
      <w:spacing w:after="160" w:before="0"/>
    </w:pPr>
    <w:rPr>
      <w:rFonts w:asciiTheme="minorHAnsi" w:cstheme="minorBidi" w:eastAsiaTheme="minorHAnsi" w:hAnsiTheme="minorHAnsi"/>
      <w:color w:val="auto"/>
      <w:szCs w:val="22"/>
    </w:rPr>
  </w:style>
  <w:style w:customStyle="1" w:styleId="EditorialNotesEDPB" w:type="paragraph">
    <w:name w:val="EditorialNotesEDPB"/>
    <w:basedOn w:val="Normal"/>
    <w:qFormat/>
    <w:rsid w:val="009B0283"/>
    <w:pPr>
      <w:spacing w:after="160" w:before="0"/>
      <w:jc w:val="left"/>
    </w:pPr>
    <w:rPr>
      <w:rFonts w:asciiTheme="minorHAnsi" w:cstheme="minorBidi" w:eastAsiaTheme="minorEastAsia" w:hAnsiTheme="minorHAnsi"/>
      <w:i/>
      <w:noProof/>
      <w:color w:themeColor="accent2" w:val="08149C"/>
      <w:szCs w:val="22"/>
      <w:lang w:eastAsia="nl-NL"/>
    </w:rPr>
  </w:style>
  <w:style w:customStyle="1" w:styleId="Default" w:type="paragraph">
    <w:name w:val="Default"/>
    <w:rsid w:val="009B0283"/>
    <w:pPr>
      <w:autoSpaceDE w:val="0"/>
      <w:autoSpaceDN w:val="0"/>
      <w:adjustRightInd w:val="0"/>
      <w:spacing w:after="0" w:line="240" w:lineRule="auto"/>
    </w:pPr>
    <w:rPr>
      <w:rFonts w:ascii="Calibri" w:cs="Calibri" w:eastAsiaTheme="minorHAnsi" w:hAnsi="Calibri"/>
      <w:color w:val="000000"/>
      <w:sz w:val="24"/>
      <w:szCs w:val="24"/>
    </w:rPr>
  </w:style>
  <w:style w:customStyle="1" w:styleId="EDBPtextinatable" w:type="paragraph">
    <w:name w:val="EDBP text in a table"/>
    <w:basedOn w:val="Normal"/>
    <w:link w:val="EDBPtextinatableChar"/>
    <w:qFormat/>
    <w:rsid w:val="009B0283"/>
    <w:pPr>
      <w:spacing w:after="0" w:before="0" w:line="276" w:lineRule="auto"/>
    </w:pPr>
    <w:rPr>
      <w:rFonts w:ascii="Calibri" w:cstheme="minorHAnsi" w:eastAsiaTheme="minorHAnsi" w:hAnsi="Calibri"/>
      <w:color w:val="auto"/>
      <w:szCs w:val="22"/>
    </w:rPr>
  </w:style>
  <w:style w:customStyle="1" w:styleId="EDBPtextinatableChar" w:type="character">
    <w:name w:val="EDBP text in a table Char"/>
    <w:basedOn w:val="DefaultParagraphFont"/>
    <w:link w:val="EDBPtextinatable"/>
    <w:rsid w:val="009B0283"/>
    <w:rPr>
      <w:rFonts w:ascii="Calibri" w:cstheme="minorHAnsi" w:eastAsiaTheme="minorHAnsi" w:hAnsi="Calibri"/>
      <w:sz w:val="22"/>
      <w:szCs w:val="22"/>
    </w:rPr>
  </w:style>
  <w:style w:customStyle="1" w:styleId="EditorialHeadingsEDPB" w:type="paragraph">
    <w:name w:val="Editorial Headings EDPB"/>
    <w:basedOn w:val="Normal"/>
    <w:next w:val="Normal"/>
    <w:qFormat/>
    <w:rsid w:val="009B0283"/>
    <w:pPr>
      <w:spacing w:after="160" w:before="0"/>
      <w:jc w:val="left"/>
    </w:pPr>
    <w:rPr>
      <w:rFonts w:asciiTheme="majorHAnsi" w:cstheme="majorHAnsi" w:eastAsiaTheme="minorHAnsi" w:hAnsiTheme="majorHAnsi"/>
      <w:b/>
      <w:color w:themeColor="accent1" w:themeShade="BF" w:val="070B45"/>
      <w:sz w:val="28"/>
      <w:szCs w:val="28"/>
    </w:rPr>
  </w:style>
  <w:style w:styleId="UnresolvedMention" w:type="character">
    <w:name w:val="Unresolved Mention"/>
    <w:basedOn w:val="DefaultParagraphFont"/>
    <w:uiPriority w:val="99"/>
    <w:semiHidden/>
    <w:unhideWhenUsed/>
    <w:rsid w:val="009B0283"/>
    <w:rPr>
      <w:color w:val="605E5C"/>
      <w:shd w:color="auto" w:fill="E1DFDD" w:val="clear"/>
    </w:rPr>
  </w:style>
  <w:style w:customStyle="1" w:styleId="my-2" w:type="paragraph">
    <w:name w:val="my-2"/>
    <w:basedOn w:val="Normal"/>
    <w:rsid w:val="009B0283"/>
    <w:pPr>
      <w:spacing w:after="100" w:afterAutospacing="1" w:before="100" w:beforeAutospacing="1" w:line="240" w:lineRule="auto"/>
      <w:jc w:val="left"/>
    </w:pPr>
    <w:rPr>
      <w:rFonts w:ascii="Times New Roman" w:cs="Times New Roman" w:hAnsi="Times New Roman"/>
      <w:color w:val="auto"/>
      <w:sz w:val="24"/>
      <w:lang w:eastAsia="es-ES" w:val="es-ES"/>
    </w:rPr>
  </w:style>
  <w:style w:styleId="TableGridLight" w:type="table">
    <w:name w:val="Grid Table Light"/>
    <w:basedOn w:val="TableNormal"/>
    <w:uiPriority w:val="40"/>
    <w:rsid w:val="009B0283"/>
    <w:pPr>
      <w:spacing w:after="0" w:line="240" w:lineRule="auto"/>
    </w:p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8" Target="footer1.xml" Type="http://schemas.openxmlformats.org/officeDocument/2006/relationships/footer" /><Relationship Id="rId9" Target="header1.xml" Type="http://schemas.openxmlformats.org/officeDocument/2006/relationships/header" /></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notes.xml.rels><?xml version="1.0" encoding="UTF-8"?><Relationships xmlns="http://schemas.openxmlformats.org/package/2006/relationships" />
</file>

<file path=word/_rels/header1.xml.rels><?xml version="1.0" encoding="UTF-8" standalone="yes"?><Relationships xmlns="http://schemas.openxmlformats.org/package/2006/relationships"/>
</file>

<file path=word/theme/theme1.xml><?xml version="1.0" encoding="utf-8"?>
<a:theme xmlns:a="http://schemas.openxmlformats.org/drawingml/2006/main" name="Office Theme">
  <a:themeElements>
    <a:clrScheme name="EDPB Palette">
      <a:dk1>
        <a:srgbClr val="000000"/>
      </a:dk1>
      <a:lt1>
        <a:sysClr val="window" lastClr="FFFFFF"/>
      </a:lt1>
      <a:dk2>
        <a:srgbClr val="0A105D"/>
      </a:dk2>
      <a:lt2>
        <a:srgbClr val="E9ECEB"/>
      </a:lt2>
      <a:accent1>
        <a:srgbClr val="0A105D"/>
      </a:accent1>
      <a:accent2>
        <a:srgbClr val="08149C"/>
      </a:accent2>
      <a:accent3>
        <a:srgbClr val="0A105D"/>
      </a:accent3>
      <a:accent4>
        <a:srgbClr val="5EC2F7"/>
      </a:accent4>
      <a:accent5>
        <a:srgbClr val="000000"/>
      </a:accent5>
      <a:accent6>
        <a:srgbClr val="0A105D"/>
      </a:accent6>
      <a:hlink>
        <a:srgbClr val="08149C"/>
      </a:hlink>
      <a:folHlink>
        <a:srgbClr val="5EC2F7"/>
      </a:folHlink>
    </a:clrScheme>
    <a:fontScheme name="EDPB font">
      <a:majorFont>
        <a:latin typeface="Glory"/>
        <a:ea typeface=""/>
        <a:cs typeface=""/>
      </a:majorFont>
      <a:minorFont>
        <a:latin typeface="Glory"/>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4031</Words>
  <Characters>22981</Characters>
  <Application>Microsoft Office Word</Application>
  <DocSecurity>0</DocSecurity>
  <Lines>191</Lines>
  <Paragraphs>53</Paragraphs>
  <ScaleCrop>false</ScaleCrop>
  <Company/>
  <LinksUpToDate>false</LinksUpToDate>
  <CharactersWithSpaces>26959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2026-05-26T07:01:54Z</dcterms:created>
  <dcterms:modified xsi:type="dcterms:W3CDTF">2026-05-26T07:01:54Z</dcterms:modified>
</cp:coreProperties>
</file>

<file path=docProps/custom.xml><?xml version="1.0" encoding="utf-8"?>
<Properties xmlns="http://schemas.openxmlformats.org/officeDocument/2006/custom-properties" xmlns:vt="http://schemas.openxmlformats.org/officeDocument/2006/docPropsVTypes"/>
</file>