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image1.png" ContentType="image/png"/>
  <Override PartName="/word/media/image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m="http://schemas.openxmlformats.org/officeDocument/2006/math" xmlns:r="http://schemas.openxmlformats.org/officeDocument/2006/relationships" xmlns:w="http://schemas.openxmlformats.org/wordprocessingml/2006/main">
  <w:body>
    <w:bookmarkStart w:id="27" w:name="sub-processor-schedule-health"/>
    <w:p>
      <w:pPr>
        <w:pStyle w:val="Heading1"/>
      </w:pPr>
      <w:r>
        <w:t xml:space="preserve">Sub-processor Schedule — EHR / FHIR Health Records Provider</w:t>
      </w:r>
    </w:p>
    <w:p>
      <w:pPr>
        <w:pStyle w:val="FirstParagraph"/>
      </w:pPr>
      <w:r>
        <w:t xml:space="preserve">This schedule governs processing carried out in connection with the operator’s designated</w:t>
      </w:r>
      <w:r>
        <w:t xml:space="preserve"> </w:t>
      </w:r>
      <w:r>
        <w:rPr>
          <w:b/>
          <w:bCs/>
        </w:rPr>
        <w:t xml:space="preserve">EHR / FHIR Health Records Provider</w:t>
      </w:r>
      <w:r>
        <w:t xml:space="preserve"> </w:t>
      </w:r>
      <w:r>
        <w:t xml:space="preserve">— the party providing patient-authorised access to electronic health records via SMART on FHIR. It is incorporated by reference into the Shyware Data Processing Agreement (</w:t>
      </w:r>
      <w:r>
        <w:rPr>
          <w:rStyle w:val="VerbatimChar"/>
        </w:rPr>
        <w:t xml:space="preserve">DATA_PROCESSING_AGREEMENT.tex</w:t>
      </w:r>
      <w:r>
        <w:t xml:space="preserve">) and is published at</w:t>
      </w:r>
      <w:r>
        <w:t xml:space="preserve"> </w:t>
      </w:r>
      <w:r>
        <w:rPr>
          <w:rStyle w:val="VerbatimChar"/>
        </w:rPr>
        <w:t xml:space="preserve">https://shyware.fyi/legal/privacy/dpia/dpa/schedule-health</w:t>
      </w:r>
      <w:r>
        <w:t xml:space="preserve">.</w:t>
      </w:r>
    </w:p>
    <w:p>
      <w:pPr>
        <w:pStyle w:val="BodyText"/>
      </w:pPr>
      <w:r>
        <w:rPr>
          <w:b/>
          <w:bCs/>
        </w:rPr>
        <w:t xml:space="preserve">Configuration trigger:</w:t>
      </w:r>
      <w:r>
        <w:t xml:space="preserve"> </w:t>
      </w:r>
      <w:r>
        <w:t xml:space="preserve">This schedule applies when the operator’s</w:t>
      </w:r>
      <w:r>
        <w:t xml:space="preserve"> </w:t>
      </w:r>
      <w:r>
        <w:rPr>
          <w:rStyle w:val="VerbatimChar"/>
        </w:rPr>
        <w:t xml:space="preserve">shyconfig</w:t>
      </w:r>
      <w:r>
        <w:t xml:space="preserve"> </w:t>
      </w:r>
      <w:r>
        <w:t xml:space="preserve">manifest sets</w:t>
      </w:r>
      <w:r>
        <w:t xml:space="preserve"> </w:t>
      </w:r>
      <w:r>
        <w:rPr>
          <w:rStyle w:val="VerbatimChar"/>
        </w:rPr>
        <w:t xml:space="preserve">store.ehr_provider</w:t>
      </w:r>
      <w:r>
        <w:t xml:space="preserve"> </w:t>
      </w:r>
      <w:r>
        <w:t xml:space="preserve">(e.g. </w:t>
      </w:r>
      <w:r>
        <w:rPr>
          <w:rStyle w:val="VerbatimChar"/>
        </w:rPr>
        <w:t xml:space="preserve">"epic"</w:t>
      </w:r>
      <w:r>
        <w:t xml:space="preserve">) and</w:t>
      </w:r>
      <w:r>
        <w:t xml:space="preserve"> </w:t>
      </w:r>
      <w:r>
        <w:rPr>
          <w:rStyle w:val="VerbatimChar"/>
        </w:rPr>
        <w:t xml:space="preserve">store.secret_categories</w:t>
      </w:r>
      <w:r>
        <w:t xml:space="preserve"> </w:t>
      </w:r>
      <w:r>
        <w:t xml:space="preserve">includes</w:t>
      </w:r>
      <w:r>
        <w:t xml:space="preserve"> </w:t>
      </w:r>
      <w:r>
        <w:rPr>
          <w:rStyle w:val="VerbatimChar"/>
        </w:rPr>
        <w:t xml:space="preserve">health_record</w:t>
      </w:r>
      <w:r>
        <w:t xml:space="preserve"> </w:t>
      </w:r>
      <w:r>
        <w:t xml:space="preserve">or</w:t>
      </w:r>
      <w:r>
        <w:t xml:space="preserve"> </w:t>
      </w:r>
      <w:r>
        <w:rPr>
          <w:rStyle w:val="VerbatimChar"/>
        </w:rPr>
        <w:t xml:space="preserve">health_record_era</w:t>
      </w:r>
      <w:r>
        <w:t xml:space="preserve">. This schedule applies</w:t>
      </w:r>
      <w:r>
        <w:t xml:space="preserve"> </w:t>
      </w:r>
      <w:r>
        <w:rPr>
          <w:i/>
          <w:iCs/>
        </w:rPr>
        <w:t xml:space="preserve">in addition to</w:t>
      </w:r>
      <w:r>
        <w:t xml:space="preserve"> </w:t>
      </w:r>
      <w:r>
        <w:t xml:space="preserve">— not instead of — the Compute, Database, and Verification schedules. All four BAAs / DPAs must be in place before any PHI flows in production.</w:t>
      </w:r>
    </w:p>
    <w:bookmarkStart w:id="18" w:name="ehr-role-definition"/>
    <w:p>
      <w:pPr>
        <w:numPr>
          <w:ilvl w:val="0"/>
          <w:numId w:val="1005"/>
        </w:numPr>
        <w:pStyle w:val="Heading2"/>
      </w:pPr>
      <w:r>
        <w:t xml:space="preserve">Role Definition</w:t>
      </w:r>
    </w:p>
    <w:tbl>
      <w:tblPr>
        <w:tblW w:type="pct" w:w="5000"/>
        <w:tblLook w:firstRow="1" w:lastRow="0" w:firstColumn="0" w:lastColumn="0" w:noHBand="0" w:noVBand="0" w:val="002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2808"/>
        <w:gridCol w:w="6552"/>
      </w:tblGrid>
      <w:tr>
        <w:trPr>
          <w:tblHeader w:val="on"/>
        </w:trPr>
        <w:tc>
          <w:tcPr>
            <w:tcW w:type="pct" w:w="150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Field</w:t>
            </w:r>
          </w:p>
        </w:tc>
        <w:tc>
          <w:tcPr>
            <w:tcW w:type="pct" w:w="350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Value</w:t>
            </w:r>
          </w:p>
        </w:tc>
      </w:tr>
      <w:tr>
        <w:tc>
          <w:tcPr>
            <w:tcW w:type="pct" w:w="1500"/>
            <w:tcBorders>
              <w:top w:val="single" w:sz="8" w:space="0" w:color="000000"/>
              <w:left w:val="single" w:sz="8" w:space="0" w:color="000000"/>
              <w:bottom w:val="single" w:sz="8" w:space="0" w:color="000000"/>
              <w:right w:val="single" w:sz="8" w:space="0" w:color="000000"/>
            </w:tcBorders>
          </w:tcPr>
          <w:p>
            <w:pPr>
              <w:pStyle w:val="Compact"/>
              <w:jc w:val="left"/>
            </w:pPr>
            <w:r>
              <w:t xml:space="preserve">Sub-processor role</w:t>
            </w:r>
          </w:p>
        </w:tc>
        <w:tc>
          <w:tcPr>
            <w:tcW w:type="pct" w:w="3500"/>
            <w:tcBorders>
              <w:top w:val="single" w:sz="8" w:space="0" w:color="000000"/>
              <w:left w:val="single" w:sz="8" w:space="0" w:color="000000"/>
              <w:bottom w:val="single" w:sz="8" w:space="0" w:color="000000"/>
              <w:right w:val="single" w:sz="8" w:space="0" w:color="000000"/>
            </w:tcBorders>
          </w:tcPr>
          <w:p>
            <w:pPr>
              <w:pStyle w:val="Compact"/>
              <w:jc w:val="left"/>
            </w:pPr>
            <w:r>
              <w:t xml:space="preserve">EHR / FHIR health records data source (patient-authorised)</w:t>
            </w:r>
          </w:p>
        </w:tc>
      </w:tr>
      <w:tr>
        <w:tc>
          <w:tcPr>
            <w:tcW w:type="pct" w:w="1500"/>
            <w:tcBorders>
              <w:top w:val="single" w:sz="8" w:space="0" w:color="000000"/>
              <w:left w:val="single" w:sz="8" w:space="0" w:color="000000"/>
              <w:bottom w:val="single" w:sz="8" w:space="0" w:color="000000"/>
              <w:right w:val="single" w:sz="8" w:space="0" w:color="000000"/>
            </w:tcBorders>
          </w:tcPr>
          <w:p>
            <w:pPr>
              <w:pStyle w:val="Compact"/>
              <w:jc w:val="left"/>
            </w:pPr>
            <w:r>
              <w:t xml:space="preserve">Named provider (operator completes)</w:t>
            </w:r>
          </w:p>
        </w:tc>
        <w:tc>
          <w:tcPr>
            <w:tcW w:type="pct" w:w="3500"/>
            <w:tcBorders>
              <w:top w:val="single" w:sz="8" w:space="0" w:color="000000"/>
              <w:left w:val="single" w:sz="8" w:space="0" w:color="000000"/>
              <w:bottom w:val="single" w:sz="8" w:space="0" w:color="000000"/>
              <w:right w:val="single" w:sz="8" w:space="0" w:color="000000"/>
            </w:tcBorders>
          </w:tcPr>
          <w:p>
            <w:pPr>
              <w:pStyle w:val="Compact"/>
              <w:jc w:val="left"/>
            </w:pPr>
            <w:r>
              <w:rPr>
                <w:rStyle w:val="VerbatimChar"/>
              </w:rPr>
              <w:t xml:space="preserve">REQUIRED_OPERATOR_INPUT</w:t>
            </w:r>
          </w:p>
        </w:tc>
      </w:tr>
      <w:tr>
        <w:tc>
          <w:tcPr>
            <w:tcW w:type="pct" w:w="1500"/>
            <w:tcBorders>
              <w:top w:val="single" w:sz="8" w:space="0" w:color="000000"/>
              <w:left w:val="single" w:sz="8" w:space="0" w:color="000000"/>
              <w:bottom w:val="single" w:sz="8" w:space="0" w:color="000000"/>
              <w:right w:val="single" w:sz="8" w:space="0" w:color="000000"/>
            </w:tcBorders>
          </w:tcPr>
          <w:p>
            <w:pPr>
              <w:pStyle w:val="Compact"/>
              <w:jc w:val="left"/>
            </w:pPr>
            <w:r>
              <w:t xml:space="preserve">FHIR version</w:t>
            </w:r>
          </w:p>
        </w:tc>
        <w:tc>
          <w:tcPr>
            <w:tcW w:type="pct" w:w="3500"/>
            <w:tcBorders>
              <w:top w:val="single" w:sz="8" w:space="0" w:color="000000"/>
              <w:left w:val="single" w:sz="8" w:space="0" w:color="000000"/>
              <w:bottom w:val="single" w:sz="8" w:space="0" w:color="000000"/>
              <w:right w:val="single" w:sz="8" w:space="0" w:color="000000"/>
            </w:tcBorders>
          </w:tcPr>
          <w:p>
            <w:pPr>
              <w:pStyle w:val="Compact"/>
              <w:jc w:val="left"/>
            </w:pPr>
            <w:r>
              <w:rPr>
                <w:rStyle w:val="VerbatimChar"/>
              </w:rPr>
              <w:t xml:space="preserve">REQUIRED_OPERATOR_INPUT</w:t>
            </w:r>
          </w:p>
        </w:tc>
      </w:tr>
      <w:tr>
        <w:tc>
          <w:tcPr>
            <w:tcW w:type="pct" w:w="1500"/>
            <w:tcBorders>
              <w:top w:val="single" w:sz="8" w:space="0" w:color="000000"/>
              <w:left w:val="single" w:sz="8" w:space="0" w:color="000000"/>
              <w:bottom w:val="single" w:sz="8" w:space="0" w:color="000000"/>
              <w:right w:val="single" w:sz="8" w:space="0" w:color="000000"/>
            </w:tcBorders>
          </w:tcPr>
          <w:p>
            <w:pPr>
              <w:pStyle w:val="Compact"/>
              <w:jc w:val="left"/>
            </w:pPr>
            <w:r>
              <w:t xml:space="preserve">Contact for data protection</w:t>
            </w:r>
          </w:p>
        </w:tc>
        <w:tc>
          <w:tcPr>
            <w:tcW w:type="pct" w:w="3500"/>
            <w:tcBorders>
              <w:top w:val="single" w:sz="8" w:space="0" w:color="000000"/>
              <w:left w:val="single" w:sz="8" w:space="0" w:color="000000"/>
              <w:bottom w:val="single" w:sz="8" w:space="0" w:color="000000"/>
              <w:right w:val="single" w:sz="8" w:space="0" w:color="000000"/>
            </w:tcBorders>
          </w:tcPr>
          <w:p>
            <w:pPr>
              <w:pStyle w:val="Compact"/>
              <w:jc w:val="left"/>
            </w:pPr>
            <w:r>
              <w:rPr>
                <w:rStyle w:val="VerbatimChar"/>
              </w:rPr>
              <w:t xml:space="preserve">REQUIRED_OPERATOR_INPUT</w:t>
            </w:r>
          </w:p>
        </w:tc>
      </w:tr>
      <w:tr>
        <w:tc>
          <w:tcPr>
            <w:tcW w:type="pct" w:w="1500"/>
            <w:tcBorders>
              <w:top w:val="single" w:sz="8" w:space="0" w:color="000000"/>
              <w:left w:val="single" w:sz="8" w:space="0" w:color="000000"/>
              <w:bottom w:val="single" w:sz="8" w:space="0" w:color="000000"/>
              <w:right w:val="single" w:sz="8" w:space="0" w:color="000000"/>
            </w:tcBorders>
          </w:tcPr>
          <w:p>
            <w:pPr>
              <w:pStyle w:val="Compact"/>
              <w:jc w:val="left"/>
            </w:pPr>
            <w:r>
              <w:t xml:space="preserve">Location</w:t>
            </w:r>
          </w:p>
        </w:tc>
        <w:tc>
          <w:tcPr>
            <w:tcW w:type="pct" w:w="3500"/>
            <w:tcBorders>
              <w:top w:val="single" w:sz="8" w:space="0" w:color="000000"/>
              <w:left w:val="single" w:sz="8" w:space="0" w:color="000000"/>
              <w:bottom w:val="single" w:sz="8" w:space="0" w:color="000000"/>
              <w:right w:val="single" w:sz="8" w:space="0" w:color="000000"/>
            </w:tcBorders>
          </w:tcPr>
          <w:p>
            <w:pPr>
              <w:pStyle w:val="Compact"/>
              <w:jc w:val="left"/>
            </w:pPr>
            <w:r>
              <w:rPr>
                <w:rStyle w:val="VerbatimChar"/>
              </w:rPr>
              <w:t xml:space="preserve">REQUIRED_OPERATOR_INPUT</w:t>
            </w:r>
          </w:p>
        </w:tc>
      </w:tr>
      <w:tr>
        <w:tc>
          <w:tcPr>
            <w:tcW w:type="pct" w:w="1500"/>
            <w:tcBorders>
              <w:top w:val="single" w:sz="8" w:space="0" w:color="000000"/>
              <w:left w:val="single" w:sz="8" w:space="0" w:color="000000"/>
              <w:bottom w:val="single" w:sz="8" w:space="0" w:color="000000"/>
              <w:right w:val="single" w:sz="8" w:space="0" w:color="000000"/>
            </w:tcBorders>
          </w:tcPr>
          <w:p>
            <w:pPr>
              <w:pStyle w:val="Compact"/>
              <w:jc w:val="left"/>
            </w:pPr>
            <w:r>
              <w:t xml:space="preserve">Transfer mechanism (if outside EEA)</w:t>
            </w:r>
          </w:p>
        </w:tc>
        <w:tc>
          <w:tcPr>
            <w:tcW w:type="pct" w:w="3500"/>
            <w:tcBorders>
              <w:top w:val="single" w:sz="8" w:space="0" w:color="000000"/>
              <w:left w:val="single" w:sz="8" w:space="0" w:color="000000"/>
              <w:bottom w:val="single" w:sz="8" w:space="0" w:color="000000"/>
              <w:right w:val="single" w:sz="8" w:space="0" w:color="000000"/>
            </w:tcBorders>
          </w:tcPr>
          <w:p>
            <w:pPr>
              <w:pStyle w:val="Compact"/>
              <w:jc w:val="left"/>
            </w:pPr>
            <w:r>
              <w:rPr>
                <w:rStyle w:val="VerbatimChar"/>
              </w:rPr>
              <w:t xml:space="preserve">REQUIRED_OPERATOR_INPUT</w:t>
            </w:r>
          </w:p>
        </w:tc>
      </w:tr>
      <w:tr>
        <w:tc>
          <w:tcPr>
            <w:tcW w:type="pct" w:w="1500"/>
            <w:tcBorders>
              <w:top w:val="single" w:sz="8" w:space="0" w:color="000000"/>
              <w:left w:val="single" w:sz="8" w:space="0" w:color="000000"/>
              <w:bottom w:val="single" w:sz="8" w:space="0" w:color="000000"/>
              <w:right w:val="single" w:sz="8" w:space="0" w:color="000000"/>
            </w:tcBorders>
          </w:tcPr>
          <w:p>
            <w:pPr>
              <w:pStyle w:val="Compact"/>
              <w:jc w:val="left"/>
            </w:pPr>
            <w:r>
              <w:t xml:space="preserve">HIPAA BAA status</w:t>
            </w:r>
          </w:p>
        </w:tc>
        <w:tc>
          <w:tcPr>
            <w:tcW w:type="pct" w:w="3500"/>
            <w:tcBorders>
              <w:top w:val="single" w:sz="8" w:space="0" w:color="000000"/>
              <w:left w:val="single" w:sz="8" w:space="0" w:color="000000"/>
              <w:bottom w:val="single" w:sz="8" w:space="0" w:color="000000"/>
              <w:right w:val="single" w:sz="8" w:space="0" w:color="000000"/>
            </w:tcBorders>
          </w:tcPr>
          <w:p>
            <w:pPr>
              <w:pStyle w:val="Compact"/>
              <w:jc w:val="left"/>
            </w:pPr>
            <w:r>
              <w:rPr>
                <w:rStyle w:val="VerbatimChar"/>
              </w:rPr>
              <w:t xml:space="preserve">REQUIRED_OPERATOR_INPUT</w:t>
            </w:r>
          </w:p>
        </w:tc>
      </w:tr>
    </w:tbl>
    <w:bookmarkEnd w:id="18"/>
    <w:bookmarkStart w:id="19" w:name="ehr-role-in-flow"/>
    <w:p>
      <w:pPr>
        <w:numPr>
          <w:ilvl w:val="0"/>
          <w:numId w:val="1005"/>
        </w:numPr>
        <w:pStyle w:val="Heading2"/>
      </w:pPr>
      <w:r>
        <w:t xml:space="preserve">Role in the Data Flow</w:t>
      </w:r>
    </w:p>
    <w:p>
      <w:pPr>
        <w:pStyle w:val="FirstParagraph"/>
      </w:pPr>
      <w:r>
        <w:t xml:space="preserve">The EHR provider is a</w:t>
      </w:r>
      <w:r>
        <w:t xml:space="preserve"> </w:t>
      </w:r>
      <w:r>
        <w:rPr>
          <w:b/>
          <w:bCs/>
        </w:rPr>
        <w:t xml:space="preserve">data source</w:t>
      </w:r>
      <w:r>
        <w:t xml:space="preserve">, not a downstream processor. The patient authorises access via SMART on FHIR OAuth. The keybox app fetches only the FHIR resource types the patient explicitly consented to (consent-scoped OAuth token), encrypts the payload client-side before transmission, and stores the sealed blob via the shystore two-list invariant. The EHR provider does not receive any shyware canonical-state data and does not process data on behalf of the operator after the OAuth handshake.</w:t>
      </w:r>
    </w:p>
    <w:p>
      <w:pPr>
        <w:pStyle w:val="BodyText"/>
      </w:pPr>
      <w:r>
        <w:t xml:space="preserve">Notwithstanding the above, the EHR provider holds its own copy of the patient record and is independently subject to HIPAA and applicable health privacy law. This schedule governs the operator’s obligations in relation to that access, not the provider’s independent obligations as a covered entity.</w:t>
      </w:r>
    </w:p>
    <w:bookmarkEnd w:id="19"/>
    <w:bookmarkStart w:id="20" w:name="ehr-data-accessed"/>
    <w:p>
      <w:pPr>
        <w:numPr>
          <w:ilvl w:val="0"/>
          <w:numId w:val="1005"/>
        </w:numPr>
        <w:pStyle w:val="Heading2"/>
      </w:pPr>
      <w:r>
        <w:t xml:space="preserve">Data Accessed</w:t>
      </w:r>
    </w:p>
    <w:tbl>
      <w:tblPr>
        <w:tblW w:type="pct" w:w="5000"/>
        <w:tblLook w:firstRow="1" w:lastRow="0" w:firstColumn="0" w:lastColumn="0" w:noHBand="0" w:noVBand="0" w:val="002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2808"/>
        <w:gridCol w:w="3463"/>
        <w:gridCol w:w="3089"/>
      </w:tblGrid>
      <w:tr>
        <w:trPr>
          <w:tblHeader w:val="on"/>
        </w:trPr>
        <w:tc>
          <w:tcPr>
            <w:tcW w:type="pct" w:w="150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FHIR Resource Type</w:t>
            </w:r>
          </w:p>
        </w:tc>
        <w:tc>
          <w:tcPr>
            <w:tcW w:type="pct" w:w="185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Content</w:t>
            </w:r>
          </w:p>
        </w:tc>
        <w:tc>
          <w:tcPr>
            <w:tcW w:type="pct" w:w="165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Consent Required</w:t>
            </w:r>
          </w:p>
        </w:tc>
      </w:tr>
      <w:tr>
        <w:tc>
          <w:tcPr>
            <w:tcW w:type="pct" w:w="1500"/>
            <w:tcBorders>
              <w:top w:val="single" w:sz="8" w:space="0" w:color="000000"/>
              <w:left w:val="single" w:sz="8" w:space="0" w:color="000000"/>
              <w:bottom w:val="single" w:sz="8" w:space="0" w:color="000000"/>
              <w:right w:val="single" w:sz="8" w:space="0" w:color="000000"/>
            </w:tcBorders>
          </w:tcPr>
          <w:p>
            <w:pPr>
              <w:pStyle w:val="Compact"/>
              <w:jc w:val="left"/>
            </w:pPr>
            <w:r>
              <w:t xml:space="preserve">Observation</w:t>
            </w:r>
          </w:p>
        </w:tc>
        <w:tc>
          <w:tcPr>
            <w:tcW w:type="pct" w:w="1850"/>
            <w:tcBorders>
              <w:top w:val="single" w:sz="8" w:space="0" w:color="000000"/>
              <w:left w:val="single" w:sz="8" w:space="0" w:color="000000"/>
              <w:bottom w:val="single" w:sz="8" w:space="0" w:color="000000"/>
              <w:right w:val="single" w:sz="8" w:space="0" w:color="000000"/>
            </w:tcBorders>
          </w:tcPr>
          <w:p>
            <w:pPr>
              <w:pStyle w:val="Compact"/>
              <w:jc w:val="left"/>
            </w:pPr>
            <w:r>
              <w:t xml:space="preserve">Labs, vitals, blood pressure, weight, oxygen</w:t>
            </w:r>
          </w:p>
        </w:tc>
        <w:tc>
          <w:tcPr>
            <w:tcW w:type="pct" w:w="1650"/>
            <w:tcBorders>
              <w:top w:val="single" w:sz="8" w:space="0" w:color="000000"/>
              <w:left w:val="single" w:sz="8" w:space="0" w:color="000000"/>
              <w:bottom w:val="single" w:sz="8" w:space="0" w:color="000000"/>
              <w:right w:val="single" w:sz="8" w:space="0" w:color="000000"/>
            </w:tcBorders>
          </w:tcPr>
          <w:p>
            <w:pPr>
              <w:pStyle w:val="Compact"/>
              <w:jc w:val="left"/>
            </w:pPr>
            <w:r>
              <w:t xml:space="preserve">Per-resource explicit consent</w:t>
            </w:r>
          </w:p>
        </w:tc>
      </w:tr>
      <w:tr>
        <w:tc>
          <w:tcPr>
            <w:tcW w:type="pct" w:w="1500"/>
            <w:tcBorders>
              <w:top w:val="single" w:sz="8" w:space="0" w:color="000000"/>
              <w:left w:val="single" w:sz="8" w:space="0" w:color="000000"/>
              <w:bottom w:val="single" w:sz="8" w:space="0" w:color="000000"/>
              <w:right w:val="single" w:sz="8" w:space="0" w:color="000000"/>
            </w:tcBorders>
          </w:tcPr>
          <w:p>
            <w:pPr>
              <w:pStyle w:val="Compact"/>
              <w:jc w:val="left"/>
            </w:pPr>
            <w:r>
              <w:t xml:space="preserve">Condition</w:t>
            </w:r>
          </w:p>
        </w:tc>
        <w:tc>
          <w:tcPr>
            <w:tcW w:type="pct" w:w="1850"/>
            <w:tcBorders>
              <w:top w:val="single" w:sz="8" w:space="0" w:color="000000"/>
              <w:left w:val="single" w:sz="8" w:space="0" w:color="000000"/>
              <w:bottom w:val="single" w:sz="8" w:space="0" w:color="000000"/>
              <w:right w:val="single" w:sz="8" w:space="0" w:color="000000"/>
            </w:tcBorders>
          </w:tcPr>
          <w:p>
            <w:pPr>
              <w:pStyle w:val="Compact"/>
              <w:jc w:val="left"/>
            </w:pPr>
            <w:r>
              <w:t xml:space="preserve">Diagnoses — current and historical</w:t>
            </w:r>
          </w:p>
        </w:tc>
        <w:tc>
          <w:tcPr>
            <w:tcW w:type="pct" w:w="1650"/>
            <w:tcBorders>
              <w:top w:val="single" w:sz="8" w:space="0" w:color="000000"/>
              <w:left w:val="single" w:sz="8" w:space="0" w:color="000000"/>
              <w:bottom w:val="single" w:sz="8" w:space="0" w:color="000000"/>
              <w:right w:val="single" w:sz="8" w:space="0" w:color="000000"/>
            </w:tcBorders>
          </w:tcPr>
          <w:p>
            <w:pPr>
              <w:pStyle w:val="Compact"/>
              <w:jc w:val="left"/>
            </w:pPr>
            <w:r>
              <w:t xml:space="preserve">Per-resource explicit consent</w:t>
            </w:r>
          </w:p>
        </w:tc>
      </w:tr>
      <w:tr>
        <w:tc>
          <w:tcPr>
            <w:tcW w:type="pct" w:w="1500"/>
            <w:tcBorders>
              <w:top w:val="single" w:sz="8" w:space="0" w:color="000000"/>
              <w:left w:val="single" w:sz="8" w:space="0" w:color="000000"/>
              <w:bottom w:val="single" w:sz="8" w:space="0" w:color="000000"/>
              <w:right w:val="single" w:sz="8" w:space="0" w:color="000000"/>
            </w:tcBorders>
          </w:tcPr>
          <w:p>
            <w:pPr>
              <w:pStyle w:val="Compact"/>
              <w:jc w:val="left"/>
            </w:pPr>
            <w:r>
              <w:t xml:space="preserve">MedicationRequest</w:t>
            </w:r>
          </w:p>
        </w:tc>
        <w:tc>
          <w:tcPr>
            <w:tcW w:type="pct" w:w="1850"/>
            <w:tcBorders>
              <w:top w:val="single" w:sz="8" w:space="0" w:color="000000"/>
              <w:left w:val="single" w:sz="8" w:space="0" w:color="000000"/>
              <w:bottom w:val="single" w:sz="8" w:space="0" w:color="000000"/>
              <w:right w:val="single" w:sz="8" w:space="0" w:color="000000"/>
            </w:tcBorders>
          </w:tcPr>
          <w:p>
            <w:pPr>
              <w:pStyle w:val="Compact"/>
              <w:jc w:val="left"/>
            </w:pPr>
            <w:r>
              <w:t xml:space="preserve">Active and historical prescriptions</w:t>
            </w:r>
          </w:p>
        </w:tc>
        <w:tc>
          <w:tcPr>
            <w:tcW w:type="pct" w:w="1650"/>
            <w:tcBorders>
              <w:top w:val="single" w:sz="8" w:space="0" w:color="000000"/>
              <w:left w:val="single" w:sz="8" w:space="0" w:color="000000"/>
              <w:bottom w:val="single" w:sz="8" w:space="0" w:color="000000"/>
              <w:right w:val="single" w:sz="8" w:space="0" w:color="000000"/>
            </w:tcBorders>
          </w:tcPr>
          <w:p>
            <w:pPr>
              <w:pStyle w:val="Compact"/>
              <w:jc w:val="left"/>
            </w:pPr>
            <w:r>
              <w:t xml:space="preserve">Per-resource explicit consent</w:t>
            </w:r>
          </w:p>
        </w:tc>
      </w:tr>
      <w:tr>
        <w:tc>
          <w:tcPr>
            <w:tcW w:type="pct" w:w="1500"/>
            <w:tcBorders>
              <w:top w:val="single" w:sz="8" w:space="0" w:color="000000"/>
              <w:left w:val="single" w:sz="8" w:space="0" w:color="000000"/>
              <w:bottom w:val="single" w:sz="8" w:space="0" w:color="000000"/>
              <w:right w:val="single" w:sz="8" w:space="0" w:color="000000"/>
            </w:tcBorders>
          </w:tcPr>
          <w:p>
            <w:pPr>
              <w:pStyle w:val="Compact"/>
              <w:jc w:val="left"/>
            </w:pPr>
            <w:r>
              <w:t xml:space="preserve">AllergyIntolerance</w:t>
            </w:r>
          </w:p>
        </w:tc>
        <w:tc>
          <w:tcPr>
            <w:tcW w:type="pct" w:w="1850"/>
            <w:tcBorders>
              <w:top w:val="single" w:sz="8" w:space="0" w:color="000000"/>
              <w:left w:val="single" w:sz="8" w:space="0" w:color="000000"/>
              <w:bottom w:val="single" w:sz="8" w:space="0" w:color="000000"/>
              <w:right w:val="single" w:sz="8" w:space="0" w:color="000000"/>
            </w:tcBorders>
          </w:tcPr>
          <w:p>
            <w:pPr>
              <w:pStyle w:val="Compact"/>
              <w:jc w:val="left"/>
            </w:pPr>
            <w:r>
              <w:t xml:space="preserve">Drug, food, and environmental allergies</w:t>
            </w:r>
          </w:p>
        </w:tc>
        <w:tc>
          <w:tcPr>
            <w:tcW w:type="pct" w:w="1650"/>
            <w:tcBorders>
              <w:top w:val="single" w:sz="8" w:space="0" w:color="000000"/>
              <w:left w:val="single" w:sz="8" w:space="0" w:color="000000"/>
              <w:bottom w:val="single" w:sz="8" w:space="0" w:color="000000"/>
              <w:right w:val="single" w:sz="8" w:space="0" w:color="000000"/>
            </w:tcBorders>
          </w:tcPr>
          <w:p>
            <w:pPr>
              <w:pStyle w:val="Compact"/>
              <w:jc w:val="left"/>
            </w:pPr>
            <w:r>
              <w:t xml:space="preserve">Per-resource explicit consent</w:t>
            </w:r>
          </w:p>
        </w:tc>
      </w:tr>
      <w:tr>
        <w:tc>
          <w:tcPr>
            <w:tcW w:type="pct" w:w="1500"/>
            <w:tcBorders>
              <w:top w:val="single" w:sz="8" w:space="0" w:color="000000"/>
              <w:left w:val="single" w:sz="8" w:space="0" w:color="000000"/>
              <w:bottom w:val="single" w:sz="8" w:space="0" w:color="000000"/>
              <w:right w:val="single" w:sz="8" w:space="0" w:color="000000"/>
            </w:tcBorders>
          </w:tcPr>
          <w:p>
            <w:pPr>
              <w:pStyle w:val="Compact"/>
              <w:jc w:val="left"/>
            </w:pPr>
            <w:r>
              <w:t xml:space="preserve">Procedure</w:t>
            </w:r>
          </w:p>
        </w:tc>
        <w:tc>
          <w:tcPr>
            <w:tcW w:type="pct" w:w="1850"/>
            <w:tcBorders>
              <w:top w:val="single" w:sz="8" w:space="0" w:color="000000"/>
              <w:left w:val="single" w:sz="8" w:space="0" w:color="000000"/>
              <w:bottom w:val="single" w:sz="8" w:space="0" w:color="000000"/>
              <w:right w:val="single" w:sz="8" w:space="0" w:color="000000"/>
            </w:tcBorders>
          </w:tcPr>
          <w:p>
            <w:pPr>
              <w:pStyle w:val="Compact"/>
              <w:jc w:val="left"/>
            </w:pPr>
            <w:r>
              <w:t xml:space="preserve">Surgeries, treatments, interventions</w:t>
            </w:r>
          </w:p>
        </w:tc>
        <w:tc>
          <w:tcPr>
            <w:tcW w:type="pct" w:w="1650"/>
            <w:tcBorders>
              <w:top w:val="single" w:sz="8" w:space="0" w:color="000000"/>
              <w:left w:val="single" w:sz="8" w:space="0" w:color="000000"/>
              <w:bottom w:val="single" w:sz="8" w:space="0" w:color="000000"/>
              <w:right w:val="single" w:sz="8" w:space="0" w:color="000000"/>
            </w:tcBorders>
          </w:tcPr>
          <w:p>
            <w:pPr>
              <w:pStyle w:val="Compact"/>
              <w:jc w:val="left"/>
            </w:pPr>
            <w:r>
              <w:t xml:space="preserve">Per-resource explicit consent</w:t>
            </w:r>
          </w:p>
        </w:tc>
      </w:tr>
      <w:tr>
        <w:tc>
          <w:tcPr>
            <w:tcW w:type="pct" w:w="1500"/>
            <w:tcBorders>
              <w:top w:val="single" w:sz="8" w:space="0" w:color="000000"/>
              <w:left w:val="single" w:sz="8" w:space="0" w:color="000000"/>
              <w:bottom w:val="single" w:sz="8" w:space="0" w:color="000000"/>
              <w:right w:val="single" w:sz="8" w:space="0" w:color="000000"/>
            </w:tcBorders>
          </w:tcPr>
          <w:p>
            <w:pPr>
              <w:pStyle w:val="Compact"/>
              <w:jc w:val="left"/>
            </w:pPr>
            <w:r>
              <w:t xml:space="preserve">Immunization</w:t>
            </w:r>
          </w:p>
        </w:tc>
        <w:tc>
          <w:tcPr>
            <w:tcW w:type="pct" w:w="1850"/>
            <w:tcBorders>
              <w:top w:val="single" w:sz="8" w:space="0" w:color="000000"/>
              <w:left w:val="single" w:sz="8" w:space="0" w:color="000000"/>
              <w:bottom w:val="single" w:sz="8" w:space="0" w:color="000000"/>
              <w:right w:val="single" w:sz="8" w:space="0" w:color="000000"/>
            </w:tcBorders>
          </w:tcPr>
          <w:p>
            <w:pPr>
              <w:pStyle w:val="Compact"/>
              <w:jc w:val="left"/>
            </w:pPr>
            <w:r>
              <w:t xml:space="preserve">Immunization history</w:t>
            </w:r>
          </w:p>
        </w:tc>
        <w:tc>
          <w:tcPr>
            <w:tcW w:type="pct" w:w="1650"/>
            <w:tcBorders>
              <w:top w:val="single" w:sz="8" w:space="0" w:color="000000"/>
              <w:left w:val="single" w:sz="8" w:space="0" w:color="000000"/>
              <w:bottom w:val="single" w:sz="8" w:space="0" w:color="000000"/>
              <w:right w:val="single" w:sz="8" w:space="0" w:color="000000"/>
            </w:tcBorders>
          </w:tcPr>
          <w:p>
            <w:pPr>
              <w:pStyle w:val="Compact"/>
              <w:jc w:val="left"/>
            </w:pPr>
            <w:r>
              <w:t xml:space="preserve">Per-resource explicit consent</w:t>
            </w:r>
          </w:p>
        </w:tc>
      </w:tr>
      <w:tr>
        <w:tc>
          <w:tcPr>
            <w:tcW w:type="pct" w:w="1500"/>
            <w:tcBorders>
              <w:top w:val="single" w:sz="8" w:space="0" w:color="000000"/>
              <w:left w:val="single" w:sz="8" w:space="0" w:color="000000"/>
              <w:bottom w:val="single" w:sz="8" w:space="0" w:color="000000"/>
              <w:right w:val="single" w:sz="8" w:space="0" w:color="000000"/>
            </w:tcBorders>
          </w:tcPr>
          <w:p>
            <w:pPr>
              <w:pStyle w:val="Compact"/>
              <w:jc w:val="left"/>
            </w:pPr>
            <w:r>
              <w:t xml:space="preserve">DocumentReference</w:t>
            </w:r>
          </w:p>
        </w:tc>
        <w:tc>
          <w:tcPr>
            <w:tcW w:type="pct" w:w="1850"/>
            <w:tcBorders>
              <w:top w:val="single" w:sz="8" w:space="0" w:color="000000"/>
              <w:left w:val="single" w:sz="8" w:space="0" w:color="000000"/>
              <w:bottom w:val="single" w:sz="8" w:space="0" w:color="000000"/>
              <w:right w:val="single" w:sz="8" w:space="0" w:color="000000"/>
            </w:tcBorders>
          </w:tcPr>
          <w:p>
            <w:pPr>
              <w:pStyle w:val="Compact"/>
              <w:jc w:val="left"/>
            </w:pPr>
            <w:r>
              <w:t xml:space="preserve">Clinical notes and reports</w:t>
            </w:r>
          </w:p>
        </w:tc>
        <w:tc>
          <w:tcPr>
            <w:tcW w:type="pct" w:w="1650"/>
            <w:tcBorders>
              <w:top w:val="single" w:sz="8" w:space="0" w:color="000000"/>
              <w:left w:val="single" w:sz="8" w:space="0" w:color="000000"/>
              <w:bottom w:val="single" w:sz="8" w:space="0" w:color="000000"/>
              <w:right w:val="single" w:sz="8" w:space="0" w:color="000000"/>
            </w:tcBorders>
          </w:tcPr>
          <w:p>
            <w:pPr>
              <w:pStyle w:val="Compact"/>
              <w:jc w:val="left"/>
            </w:pPr>
            <w:r>
              <w:t xml:space="preserve">Per-resource explicit consent</w:t>
            </w:r>
          </w:p>
        </w:tc>
      </w:tr>
    </w:tbl>
    <w:p>
      <w:pPr>
        <w:pStyle w:val="BodyText"/>
      </w:pPr>
      <w:r>
        <w:t xml:space="preserve">Access is scoped to consented resource types only. The SMART on FHIR OAuth scope is generated from the patient’s per-resource-type consent selection in the keybox ConsentGate UI (Art. 9(2)(a) explicit consent recorded via</w:t>
      </w:r>
      <w:r>
        <w:t xml:space="preserve"> </w:t>
      </w:r>
      <w:r>
        <w:rPr>
          <w:rStyle w:val="VerbatimChar"/>
        </w:rPr>
        <w:t xml:space="preserve">POST /api/store/consent</w:t>
      </w:r>
      <w:r>
        <w:t xml:space="preserve"> </w:t>
      </w:r>
      <w:r>
        <w:t xml:space="preserve">before redirect). Unconsented resource types are excluded from the OAuth scope request.</w:t>
      </w:r>
    </w:p>
    <w:bookmarkEnd w:id="20"/>
    <w:bookmarkStart w:id="21" w:name="ehr-special-category"/>
    <w:p>
      <w:pPr>
        <w:numPr>
          <w:ilvl w:val="0"/>
          <w:numId w:val="1005"/>
        </w:numPr>
        <w:pStyle w:val="Heading2"/>
      </w:pPr>
      <w:r>
        <w:t xml:space="preserve">Special Category Obligations (Art. 9) — Health Data</w:t>
      </w:r>
    </w:p>
    <w:p>
      <w:pPr>
        <w:pStyle w:val="FirstParagraph"/>
      </w:pPr>
      <w:r>
        <w:t xml:space="preserve">Health records are special-category personal data under GDPR Art. 9(1). Processing requires an Art. 9(2) exemption. The intended basis for keybox EHR deployments is:</w:t>
      </w:r>
    </w:p>
    <w:p>
      <w:pPr>
        <w:numPr>
          <w:ilvl w:val="0"/>
          <w:numId w:val="1001"/>
        </w:numPr>
      </w:pPr>
      <w:r>
        <w:rPr>
          <w:b/>
          <w:bCs/>
        </w:rPr>
        <w:t xml:space="preserve">Art. 9(2)(a) — Explicit consent.</w:t>
      </w:r>
      <w:r>
        <w:t xml:space="preserve"> </w:t>
      </w:r>
      <w:r>
        <w:t xml:space="preserve">The patient provides freely given, specific, informed, and unambiguous consent to import and vault each FHIR resource type before the SMART on FHIR redirect. Consent is recorded as a sealed consent record in the shystore ledger. Withdrawal of consent triggers deletion of all associated health records and the consent record via the Art. 17 erasure path.</w:t>
      </w:r>
    </w:p>
    <w:p>
      <w:pPr>
        <w:numPr>
          <w:ilvl w:val="0"/>
          <w:numId w:val="1001"/>
        </w:numPr>
      </w:pPr>
      <w:r>
        <w:t xml:space="preserve">Consent must be granular per resource type — a single blanket consent for</w:t>
      </w:r>
      <w:r>
        <w:t xml:space="preserve"> </w:t>
      </w:r>
      <w:r>
        <w:rPr>
          <w:rStyle w:val="VerbatimChar"/>
        </w:rPr>
        <w:t xml:space="preserve">patient/*.read</w:t>
      </w:r>
      <w:r>
        <w:t xml:space="preserve"> </w:t>
      </w:r>
      <w:r>
        <w:t xml:space="preserve">is not sufficient for Art. 9(2)(a).</w:t>
      </w:r>
    </w:p>
    <w:p>
      <w:pPr>
        <w:numPr>
          <w:ilvl w:val="0"/>
          <w:numId w:val="1001"/>
        </w:numPr>
      </w:pPr>
      <w:r>
        <w:t xml:space="preserve">The operator must maintain a record of each consent act (timestamp, scope, resource types,</w:t>
      </w:r>
      <w:r>
        <w:t xml:space="preserve"> </w:t>
      </w:r>
      <w:r>
        <w:rPr>
          <w:rStyle w:val="VerbatimChar"/>
        </w:rPr>
        <w:t xml:space="preserve">consentId</w:t>
      </w:r>
      <w:r>
        <w:t xml:space="preserve">) for accountability under Art. 5(2).</w:t>
      </w:r>
    </w:p>
    <w:bookmarkEnd w:id="21"/>
    <w:bookmarkStart w:id="22" w:name="ehr-hipaa"/>
    <w:p>
      <w:pPr>
        <w:numPr>
          <w:ilvl w:val="0"/>
          <w:numId w:val="1005"/>
        </w:numPr>
        <w:pStyle w:val="Heading2"/>
      </w:pPr>
      <w:r>
        <w:t xml:space="preserve">HIPAA Requirements (US Deployments)</w:t>
      </w:r>
    </w:p>
    <w:p>
      <w:pPr>
        <w:pStyle w:val="FirstParagraph"/>
      </w:pPr>
      <w:r>
        <w:t xml:space="preserve">If the deployment processes Protected Health Information (PHI) of US persons, HIPAA applies independently of GDPR. The operator must:</w:t>
      </w:r>
    </w:p>
    <w:p>
      <w:pPr>
        <w:numPr>
          <w:ilvl w:val="0"/>
          <w:numId w:val="1002"/>
        </w:numPr>
      </w:pPr>
      <w:r>
        <w:t xml:space="preserve">Execute a signed BAA with the EHR provider (Epic and most covered entities provide standard BAAs; confirm scope covers SMART on FHIR access).</w:t>
      </w:r>
    </w:p>
    <w:p>
      <w:pPr>
        <w:numPr>
          <w:ilvl w:val="0"/>
          <w:numId w:val="1002"/>
        </w:numPr>
      </w:pPr>
      <w:r>
        <w:t xml:space="preserve">Execute signed BAAs with all sub-processors that handle PHI: Compute provider (AWS — standard BAA available under AWS Customer Agreement; confirm covers EC2, KMS, S3 Object Lock); Database provider (CockroachDB HIPAA-eligible tier required); IDV provider (identity context only, no PHI payload; confirm BAA availability).</w:t>
      </w:r>
    </w:p>
    <w:p>
      <w:pPr>
        <w:numPr>
          <w:ilvl w:val="0"/>
          <w:numId w:val="1002"/>
        </w:numPr>
      </w:pPr>
      <w:r>
        <w:t xml:space="preserve">Register a production FHIR client ID with each EHR provider and configure</w:t>
      </w:r>
      <w:r>
        <w:t xml:space="preserve"> </w:t>
      </w:r>
      <w:r>
        <w:rPr>
          <w:rStyle w:val="VerbatimChar"/>
        </w:rPr>
        <w:t xml:space="preserve">VITE_FHIR_CLIENT_ID</w:t>
      </w:r>
      <w:r>
        <w:t xml:space="preserve"> </w:t>
      </w:r>
      <w:r>
        <w:t xml:space="preserve">in the CI/CD environment before production build. The</w:t>
      </w:r>
      <w:r>
        <w:t xml:space="preserve"> </w:t>
      </w:r>
      <w:r>
        <w:rPr>
          <w:rStyle w:val="VerbatimChar"/>
        </w:rPr>
        <w:t xml:space="preserve">demo-client-id</w:t>
      </w:r>
      <w:r>
        <w:t xml:space="preserve"> </w:t>
      </w:r>
      <w:r>
        <w:t xml:space="preserve">fallback must not be used in production.</w:t>
      </w:r>
    </w:p>
    <w:p>
      <w:pPr>
        <w:numPr>
          <w:ilvl w:val="0"/>
          <w:numId w:val="1002"/>
        </w:numPr>
      </w:pPr>
      <w:r>
        <w:t xml:space="preserve">Apply the minimum necessary standard: the consent gate scopes the OAuth token to consented resource types only — structural minimum-necessary enforcement.</w:t>
      </w:r>
    </w:p>
    <w:p>
      <w:pPr>
        <w:numPr>
          <w:ilvl w:val="0"/>
          <w:numId w:val="1002"/>
        </w:numPr>
      </w:pPr>
      <w:r>
        <w:t xml:space="preserve">Maintain a breach notification procedure meeting the HIPAA 60-day notification obligation.</w:t>
      </w:r>
    </w:p>
    <w:p>
      <w:pPr>
        <w:numPr>
          <w:ilvl w:val="0"/>
          <w:numId w:val="1002"/>
        </w:numPr>
      </w:pPr>
      <w:r>
        <w:t xml:space="preserve">Implement FHIR access token revocation in the erasure workflow: shyware canonical deletion does not automatically revoke provider-side authorisation. The operator must separately revoke the SMART on FHIR access token and delete the FHIR authorisation when the patient withdraws consent or exercises Art. 17 erasure.</w:t>
      </w:r>
    </w:p>
    <w:bookmarkEnd w:id="22"/>
    <w:bookmarkStart w:id="23" w:name="ehr-structural-constraints"/>
    <w:p>
      <w:pPr>
        <w:numPr>
          <w:ilvl w:val="0"/>
          <w:numId w:val="1005"/>
        </w:numPr>
        <w:pStyle w:val="Heading2"/>
      </w:pPr>
      <w:r>
        <w:t xml:space="preserve">Structural Constraints</w:t>
      </w:r>
    </w:p>
    <w:p>
      <w:pPr>
        <w:numPr>
          <w:ilvl w:val="0"/>
          <w:numId w:val="1003"/>
        </w:numPr>
      </w:pPr>
      <w:r>
        <w:rPr>
          <w:b/>
          <w:bCs/>
        </w:rPr>
        <w:t xml:space="preserve">Client-side sealing before storage:</w:t>
      </w:r>
      <w:r>
        <w:t xml:space="preserve"> </w:t>
      </w:r>
      <w:r>
        <w:t xml:space="preserve">FHIR payloads are encrypted by the keybox client using participant-derived keys (HKDF-SHA256) before any data reaches the shystore canonical layer. The EHR provider and shyware canonical infrastructure never hold plaintext health records simultaneously.</w:t>
      </w:r>
    </w:p>
    <w:p>
      <w:pPr>
        <w:numPr>
          <w:ilvl w:val="0"/>
          <w:numId w:val="1003"/>
        </w:numPr>
      </w:pPr>
      <w:r>
        <w:rPr>
          <w:b/>
          <w:bCs/>
        </w:rPr>
        <w:t xml:space="preserve">Consent-scoped OAuth token:</w:t>
      </w:r>
      <w:r>
        <w:t xml:space="preserve"> </w:t>
      </w:r>
      <w:r>
        <w:t xml:space="preserve">The SMART on FHIR access token is scoped to the exact resource types the patient consented to. The EHR provider enforces this scope at the FHIR API layer independently of the shyware layer.</w:t>
      </w:r>
    </w:p>
    <w:p>
      <w:pPr>
        <w:numPr>
          <w:ilvl w:val="0"/>
          <w:numId w:val="1003"/>
        </w:numPr>
      </w:pPr>
      <w:r>
        <w:rPr>
          <w:b/>
          <w:bCs/>
        </w:rPr>
        <w:t xml:space="preserve">No cross-participant enumeration:</w:t>
      </w:r>
      <w:r>
        <w:t xml:space="preserve"> </w:t>
      </w:r>
      <w:r>
        <w:t xml:space="preserve">The shystore API structurally rejects bulk health record enumeration (verified:</w:t>
      </w:r>
      <w:r>
        <w:t xml:space="preserve"> </w:t>
      </w:r>
      <w:r>
        <w:rPr>
          <w:rStyle w:val="VerbatimChar"/>
        </w:rPr>
        <w:t xml:space="preserve">GET /api/store/secrets/all</w:t>
      </w:r>
      <w:r>
        <w:t xml:space="preserve"> </w:t>
      </w:r>
      <w:r>
        <w:t xml:space="preserve">returns 403). The EHR provider’s own data is subject to its own access controls.</w:t>
      </w:r>
    </w:p>
    <w:p>
      <w:pPr>
        <w:numPr>
          <w:ilvl w:val="0"/>
          <w:numId w:val="1003"/>
        </w:numPr>
      </w:pPr>
      <w:r>
        <w:rPr>
          <w:b/>
          <w:bCs/>
        </w:rPr>
        <w:t xml:space="preserve">Art. 17 erasure path:</w:t>
      </w:r>
      <w:r>
        <w:t xml:space="preserve"> </w:t>
      </w:r>
      <w:r>
        <w:t xml:space="preserve">Canonical deletion of sealed health blobs is verified (EHR ERASURE section,</w:t>
      </w:r>
      <w:r>
        <w:t xml:space="preserve"> </w:t>
      </w:r>
      <w:r>
        <w:rPr>
          <w:rStyle w:val="VerbatimChar"/>
        </w:rPr>
        <w:t xml:space="preserve">keybox.unit.mjs</w:t>
      </w:r>
      <w:r>
        <w:t xml:space="preserve">). FHIR-side erasure requires separate FHIR token revocation by the operator.</w:t>
      </w:r>
    </w:p>
    <w:p>
      <w:pPr>
        <w:numPr>
          <w:ilvl w:val="0"/>
          <w:numId w:val="1003"/>
        </w:numPr>
      </w:pPr>
      <w:r>
        <w:rPr>
          <w:b/>
          <w:bCs/>
        </w:rPr>
        <w:t xml:space="preserve">Authenticator surface isolation:</w:t>
      </w:r>
      <w:r>
        <w:t xml:space="preserve"> </w:t>
      </w:r>
      <w:r>
        <w:t xml:space="preserve">The</w:t>
      </w:r>
      <w:r>
        <w:t xml:space="preserve"> </w:t>
      </w:r>
      <w:r>
        <w:rPr>
          <w:rStyle w:val="VerbatimChar"/>
        </w:rPr>
        <w:t xml:space="preserve">authenticator.keybox.fyi</w:t>
      </w:r>
      <w:r>
        <w:t xml:space="preserve"> </w:t>
      </w:r>
      <w:r>
        <w:t xml:space="preserve">biometric re-derivation surface does not transmit or receive EHR payloads. It issues a session credential to the vault only.</w:t>
      </w:r>
    </w:p>
    <w:bookmarkEnd w:id="23"/>
    <w:bookmarkStart w:id="24" w:name="ehr-hipaa-164312"/>
    <w:p>
      <w:pPr>
        <w:numPr>
          <w:ilvl w:val="0"/>
          <w:numId w:val="1005"/>
        </w:numPr>
        <w:pStyle w:val="Heading2"/>
      </w:pPr>
      <w:r>
        <w:t xml:space="preserve">HIPAA Technical Safeguards Mapping (45 CFR §164.312)</w:t>
      </w:r>
    </w:p>
    <w:p>
      <w:pPr>
        <w:pStyle w:val="FirstParagraph"/>
      </w:pPr>
      <w:r>
        <w:t xml:space="preserve">The 2025 HIPAA Security Rule NPRM (published January 6, 2025; final rule expected 2026) eliminates the addressable/required distinction and makes all specifications mandatory for every covered entity and business associate. The shystore structural layer satisfies or supports each requirement as follows:</w:t>
      </w:r>
    </w:p>
    <w:tbl>
      <w:tblPr>
        <w:tblW w:type="pct" w:w="5000"/>
        <w:tblLook w:firstRow="1" w:lastRow="0" w:firstColumn="0" w:lastColumn="0" w:noHBand="0" w:noVBand="0" w:val="002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2340"/>
        <w:gridCol w:w="5148"/>
        <w:gridCol w:w="1872"/>
      </w:tblGrid>
      <w:tr>
        <w:trPr>
          <w:tblHeader w:val="on"/>
        </w:trPr>
        <w:tc>
          <w:tcPr>
            <w:tcW w:type="pct" w:w="125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Safeguard (45 CFR §164.312)</w:t>
            </w:r>
          </w:p>
        </w:tc>
        <w:tc>
          <w:tcPr>
            <w:tcW w:type="pct" w:w="275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Shyware structural mechanism</w:t>
            </w:r>
          </w:p>
        </w:tc>
        <w:tc>
          <w:tcPr>
            <w:tcW w:type="pct" w:w="100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Patent claim</w:t>
            </w:r>
          </w:p>
        </w:tc>
      </w:tr>
      <w:tr>
        <w:tc>
          <w:tcPr>
            <w:tcW w:type="pct" w:w="1250"/>
            <w:tcBorders>
              <w:top w:val="single" w:sz="8" w:space="0" w:color="000000"/>
              <w:left w:val="single" w:sz="8" w:space="0" w:color="000000"/>
              <w:bottom w:val="single" w:sz="8" w:space="0" w:color="000000"/>
              <w:right w:val="single" w:sz="8" w:space="0" w:color="000000"/>
            </w:tcBorders>
          </w:tcPr>
          <w:p>
            <w:pPr>
              <w:pStyle w:val="Compact"/>
              <w:jc w:val="left"/>
            </w:pPr>
            <w:r>
              <w:t xml:space="preserve">Access controls — unique user ID</w:t>
            </w:r>
          </w:p>
        </w:tc>
        <w:tc>
          <w:tcPr>
            <w:tcW w:type="pct" w:w="2750"/>
            <w:tcBorders>
              <w:top w:val="single" w:sz="8" w:space="0" w:color="000000"/>
              <w:left w:val="single" w:sz="8" w:space="0" w:color="000000"/>
              <w:bottom w:val="single" w:sz="8" w:space="0" w:color="000000"/>
              <w:right w:val="single" w:sz="8" w:space="0" w:color="000000"/>
            </w:tcBorders>
          </w:tcPr>
          <w:p>
            <w:pPr>
              <w:pStyle w:val="Compact"/>
              <w:jc w:val="left"/>
            </w:pPr>
            <w:r>
              <w:t xml:space="preserve">Each participant’s L2 record =</w:t>
            </w:r>
            <w:r>
              <w:t xml:space="preserve"> </w:t>
            </w:r>
            <m:oMath>
              <m:r>
                <m:t>H</m:t>
              </m:r>
              <m:r>
                <m:rPr>
                  <m:sty m:val="p"/>
                </m:rPr>
                <m:t>(</m:t>
              </m:r>
              <m:r>
                <m:rPr>
                  <m:nor/>
                  <m:sty m:val="p"/>
                </m:rPr>
                <m:t>uid</m:t>
              </m:r>
              <m:r>
                <m:rPr>
                  <m:sty m:val="p"/>
                </m:rPr>
                <m:t>∥</m:t>
              </m:r>
              <m:r>
                <m:rPr>
                  <m:nor/>
                  <m:sty m:val="p"/>
                </m:rPr>
                <m:t>scopingId</m:t>
              </m:r>
              <m:r>
                <m:rPr>
                  <m:sty m:val="p"/>
                </m:rPr>
                <m:t>)</m:t>
              </m:r>
            </m:oMath>
            <w:r>
              <w:t xml:space="preserve">; scoped per submission, unlinkable across records. No two submissions for the same user share an on-chain identity.</w:t>
            </w:r>
          </w:p>
        </w:tc>
        <w:tc>
          <w:tcPr>
            <w:tcW w:type="pct" w:w="1000"/>
            <w:tcBorders>
              <w:top w:val="single" w:sz="8" w:space="0" w:color="000000"/>
              <w:left w:val="single" w:sz="8" w:space="0" w:color="000000"/>
              <w:bottom w:val="single" w:sz="8" w:space="0" w:color="000000"/>
              <w:right w:val="single" w:sz="8" w:space="0" w:color="000000"/>
            </w:tcBorders>
          </w:tcPr>
          <w:p>
            <w:pPr>
              <w:pStyle w:val="Compact"/>
              <w:jc w:val="left"/>
            </w:pPr>
            <w:r>
              <w:t xml:space="preserve">Claim 25</w:t>
            </w:r>
          </w:p>
        </w:tc>
      </w:tr>
      <w:tr>
        <w:tc>
          <w:tcPr>
            <w:tcW w:type="pct" w:w="1250"/>
            <w:tcBorders>
              <w:top w:val="single" w:sz="8" w:space="0" w:color="000000"/>
              <w:left w:val="single" w:sz="8" w:space="0" w:color="000000"/>
              <w:bottom w:val="single" w:sz="8" w:space="0" w:color="000000"/>
              <w:right w:val="single" w:sz="8" w:space="0" w:color="000000"/>
            </w:tcBorders>
          </w:tcPr>
          <w:p>
            <w:pPr>
              <w:pStyle w:val="Compact"/>
              <w:jc w:val="left"/>
            </w:pPr>
            <w:r>
              <w:t xml:space="preserve">Access controls — encryption/decryption</w:t>
            </w:r>
          </w:p>
        </w:tc>
        <w:tc>
          <w:tcPr>
            <w:tcW w:type="pct" w:w="2750"/>
            <w:tcBorders>
              <w:top w:val="single" w:sz="8" w:space="0" w:color="000000"/>
              <w:left w:val="single" w:sz="8" w:space="0" w:color="000000"/>
              <w:bottom w:val="single" w:sz="8" w:space="0" w:color="000000"/>
              <w:right w:val="single" w:sz="8" w:space="0" w:color="000000"/>
            </w:tcBorders>
          </w:tcPr>
          <w:p>
            <w:pPr>
              <w:pStyle w:val="Compact"/>
              <w:jc w:val="left"/>
            </w:pPr>
            <w:r>
              <w:t xml:space="preserve">Payload sealed with AES-256-GCM before any network transmission; sealer key required for decryption; operator holds sealer key in AWS KMS (FIPS 140-3 L3).</w:t>
            </w:r>
          </w:p>
        </w:tc>
        <w:tc>
          <w:tcPr>
            <w:tcW w:type="pct" w:w="1000"/>
            <w:tcBorders>
              <w:top w:val="single" w:sz="8" w:space="0" w:color="000000"/>
              <w:left w:val="single" w:sz="8" w:space="0" w:color="000000"/>
              <w:bottom w:val="single" w:sz="8" w:space="0" w:color="000000"/>
              <w:right w:val="single" w:sz="8" w:space="0" w:color="000000"/>
            </w:tcBorders>
          </w:tcPr>
          <w:p>
            <w:pPr>
              <w:pStyle w:val="Compact"/>
              <w:jc w:val="left"/>
            </w:pPr>
            <w:r>
              <w:t xml:space="preserve">Claims 28–30</w:t>
            </w:r>
          </w:p>
        </w:tc>
      </w:tr>
      <w:tr>
        <w:tc>
          <w:tcPr>
            <w:tcW w:type="pct" w:w="1250"/>
            <w:tcBorders>
              <w:top w:val="single" w:sz="8" w:space="0" w:color="000000"/>
              <w:left w:val="single" w:sz="8" w:space="0" w:color="000000"/>
              <w:bottom w:val="single" w:sz="8" w:space="0" w:color="000000"/>
              <w:right w:val="single" w:sz="8" w:space="0" w:color="000000"/>
            </w:tcBorders>
          </w:tcPr>
          <w:p>
            <w:pPr>
              <w:pStyle w:val="Compact"/>
              <w:jc w:val="left"/>
            </w:pPr>
            <w:r>
              <w:t xml:space="preserve">Access controls — minimum necessary</w:t>
            </w:r>
          </w:p>
        </w:tc>
        <w:tc>
          <w:tcPr>
            <w:tcW w:type="pct" w:w="2750"/>
            <w:tcBorders>
              <w:top w:val="single" w:sz="8" w:space="0" w:color="000000"/>
              <w:left w:val="single" w:sz="8" w:space="0" w:color="000000"/>
              <w:bottom w:val="single" w:sz="8" w:space="0" w:color="000000"/>
              <w:right w:val="single" w:sz="8" w:space="0" w:color="000000"/>
            </w:tcBorders>
          </w:tcPr>
          <w:p>
            <w:pPr>
              <w:pStyle w:val="Compact"/>
              <w:jc w:val="left"/>
            </w:pPr>
            <w:r>
              <w:t xml:space="preserve">Canonical state structurally excludes over-collection: no join key between L1 (payload commitment) and L2 (identity hash) is ever written. Non-composable reconcile API (Claim 56) returns only the requesting participant’s own record.</w:t>
            </w:r>
          </w:p>
        </w:tc>
        <w:tc>
          <w:tcPr>
            <w:tcW w:type="pct" w:w="1000"/>
            <w:tcBorders>
              <w:top w:val="single" w:sz="8" w:space="0" w:color="000000"/>
              <w:left w:val="single" w:sz="8" w:space="0" w:color="000000"/>
              <w:bottom w:val="single" w:sz="8" w:space="0" w:color="000000"/>
              <w:right w:val="single" w:sz="8" w:space="0" w:color="000000"/>
            </w:tcBorders>
          </w:tcPr>
          <w:p>
            <w:pPr>
              <w:pStyle w:val="Compact"/>
              <w:jc w:val="left"/>
            </w:pPr>
            <w:r>
              <w:t xml:space="preserve">Claims 1, 56, 59</w:t>
            </w:r>
          </w:p>
        </w:tc>
      </w:tr>
      <w:tr>
        <w:tc>
          <w:tcPr>
            <w:tcW w:type="pct" w:w="1250"/>
            <w:tcBorders>
              <w:top w:val="single" w:sz="8" w:space="0" w:color="000000"/>
              <w:left w:val="single" w:sz="8" w:space="0" w:color="000000"/>
              <w:bottom w:val="single" w:sz="8" w:space="0" w:color="000000"/>
              <w:right w:val="single" w:sz="8" w:space="0" w:color="000000"/>
            </w:tcBorders>
          </w:tcPr>
          <w:p>
            <w:pPr>
              <w:pStyle w:val="Compact"/>
              <w:jc w:val="left"/>
            </w:pPr>
            <w:r>
              <w:t xml:space="preserve">Audit controls</w:t>
            </w:r>
          </w:p>
        </w:tc>
        <w:tc>
          <w:tcPr>
            <w:tcW w:type="pct" w:w="2750"/>
            <w:tcBorders>
              <w:top w:val="single" w:sz="8" w:space="0" w:color="000000"/>
              <w:left w:val="single" w:sz="8" w:space="0" w:color="000000"/>
              <w:bottom w:val="single" w:sz="8" w:space="0" w:color="000000"/>
              <w:right w:val="single" w:sz="8" w:space="0" w:color="000000"/>
            </w:tcBorders>
          </w:tcPr>
          <w:p>
            <w:pPr>
              <w:pStyle w:val="Compact"/>
              <w:jc w:val="left"/>
            </w:pPr>
            <w:r>
              <w:t xml:space="preserve">Authority-action audit surface (Claim 60): every reconciling operation logged with timestamp, authority identity, action type, and canonical hash commitment. Signatures non-repudiable; no orphaned operations.</w:t>
            </w:r>
          </w:p>
        </w:tc>
        <w:tc>
          <w:tcPr>
            <w:tcW w:type="pct" w:w="1000"/>
            <w:tcBorders>
              <w:top w:val="single" w:sz="8" w:space="0" w:color="000000"/>
              <w:left w:val="single" w:sz="8" w:space="0" w:color="000000"/>
              <w:bottom w:val="single" w:sz="8" w:space="0" w:color="000000"/>
              <w:right w:val="single" w:sz="8" w:space="0" w:color="000000"/>
            </w:tcBorders>
          </w:tcPr>
          <w:p>
            <w:pPr>
              <w:pStyle w:val="Compact"/>
              <w:jc w:val="left"/>
            </w:pPr>
            <w:r>
              <w:t xml:space="preserve">Claim 60</w:t>
            </w:r>
          </w:p>
        </w:tc>
      </w:tr>
      <w:tr>
        <w:tc>
          <w:tcPr>
            <w:tcW w:type="pct" w:w="1250"/>
            <w:tcBorders>
              <w:top w:val="single" w:sz="8" w:space="0" w:color="000000"/>
              <w:left w:val="single" w:sz="8" w:space="0" w:color="000000"/>
              <w:bottom w:val="single" w:sz="8" w:space="0" w:color="000000"/>
              <w:right w:val="single" w:sz="8" w:space="0" w:color="000000"/>
            </w:tcBorders>
          </w:tcPr>
          <w:p>
            <w:pPr>
              <w:pStyle w:val="Compact"/>
              <w:jc w:val="left"/>
            </w:pPr>
            <w:r>
              <w:t xml:space="preserve">Integrity — no improper alteration</w:t>
            </w:r>
          </w:p>
        </w:tc>
        <w:tc>
          <w:tcPr>
            <w:tcW w:type="pct" w:w="2750"/>
            <w:tcBorders>
              <w:top w:val="single" w:sz="8" w:space="0" w:color="000000"/>
              <w:left w:val="single" w:sz="8" w:space="0" w:color="000000"/>
              <w:bottom w:val="single" w:sz="8" w:space="0" w:color="000000"/>
              <w:right w:val="single" w:sz="8" w:space="0" w:color="000000"/>
            </w:tcBorders>
          </w:tcPr>
          <w:p>
            <w:pPr>
              <w:pStyle w:val="Compact"/>
              <w:jc w:val="left"/>
            </w:pPr>
            <w:r>
              <w:t xml:space="preserve">Count-match invariant</w:t>
            </w:r>
            <w:r>
              <w:t xml:space="preserve"> </w:t>
            </w:r>
            <m:oMath>
              <m:r>
                <m:rPr>
                  <m:sty m:val="p"/>
                </m:rPr>
                <m:t>|</m:t>
              </m:r>
              <m:r>
                <m:t>L</m:t>
              </m:r>
              <m:r>
                <m:t>1</m:t>
              </m:r>
              <m:r>
                <m:rPr>
                  <m:sty m:val="p"/>
                </m:rPr>
                <m:t>(</m:t>
              </m:r>
              <m:r>
                <m:t>S</m:t>
              </m:r>
              <m:r>
                <m:rPr>
                  <m:sty m:val="p"/>
                </m:rPr>
                <m:t>)</m:t>
              </m:r>
              <m:r>
                <m:rPr>
                  <m:sty m:val="p"/>
                </m:rPr>
                <m:t>|</m:t>
              </m:r>
              <m:r>
                <m:rPr>
                  <m:sty m:val="p"/>
                </m:rPr>
                <m:t>=</m:t>
              </m:r>
              <m:r>
                <m:rPr>
                  <m:sty m:val="p"/>
                </m:rPr>
                <m:t>|</m:t>
              </m:r>
              <m:r>
                <m:t>L</m:t>
              </m:r>
              <m:r>
                <m:t>2</m:t>
              </m:r>
              <m:r>
                <m:rPr>
                  <m:sty m:val="p"/>
                </m:rPr>
                <m:t>(</m:t>
              </m:r>
              <m:r>
                <m:t>S</m:t>
              </m:r>
              <m:r>
                <m:rPr>
                  <m:sty m:val="p"/>
                </m:rPr>
                <m:t>)</m:t>
              </m:r>
              <m:r>
                <m:rPr>
                  <m:sty m:val="p"/>
                </m:rPr>
                <m:t>|</m:t>
              </m:r>
            </m:oMath>
            <w:r>
              <w:t xml:space="preserve"> </w:t>
            </w:r>
            <w:r>
              <w:t xml:space="preserve">enforced atomically at the ABCI validation layer; HSM-attested period-close dual Merkle roots provide integrity proof (Claim 80); post-close modification rejected.</w:t>
            </w:r>
          </w:p>
        </w:tc>
        <w:tc>
          <w:tcPr>
            <w:tcW w:type="pct" w:w="1000"/>
            <w:tcBorders>
              <w:top w:val="single" w:sz="8" w:space="0" w:color="000000"/>
              <w:left w:val="single" w:sz="8" w:space="0" w:color="000000"/>
              <w:bottom w:val="single" w:sz="8" w:space="0" w:color="000000"/>
              <w:right w:val="single" w:sz="8" w:space="0" w:color="000000"/>
            </w:tcBorders>
          </w:tcPr>
          <w:p>
            <w:pPr>
              <w:pStyle w:val="Compact"/>
              <w:jc w:val="left"/>
            </w:pPr>
            <w:r>
              <w:t xml:space="preserve">Claims 18, 73, 80</w:t>
            </w:r>
          </w:p>
        </w:tc>
      </w:tr>
      <w:tr>
        <w:tc>
          <w:tcPr>
            <w:tcW w:type="pct" w:w="1250"/>
            <w:tcBorders>
              <w:top w:val="single" w:sz="8" w:space="0" w:color="000000"/>
              <w:left w:val="single" w:sz="8" w:space="0" w:color="000000"/>
              <w:bottom w:val="single" w:sz="8" w:space="0" w:color="000000"/>
              <w:right w:val="single" w:sz="8" w:space="0" w:color="000000"/>
            </w:tcBorders>
          </w:tcPr>
          <w:p>
            <w:pPr>
              <w:pStyle w:val="Compact"/>
              <w:jc w:val="left"/>
            </w:pPr>
            <w:r>
              <w:t xml:space="preserve">Person or entity authentication</w:t>
            </w:r>
          </w:p>
        </w:tc>
        <w:tc>
          <w:tcPr>
            <w:tcW w:type="pct" w:w="2750"/>
            <w:tcBorders>
              <w:top w:val="single" w:sz="8" w:space="0" w:color="000000"/>
              <w:left w:val="single" w:sz="8" w:space="0" w:color="000000"/>
              <w:bottom w:val="single" w:sz="8" w:space="0" w:color="000000"/>
              <w:right w:val="single" w:sz="8" w:space="0" w:color="000000"/>
            </w:tcBorders>
          </w:tcPr>
          <w:p>
            <w:pPr>
              <w:pStyle w:val="Compact"/>
              <w:jc w:val="left"/>
            </w:pPr>
            <w:r>
              <w:t xml:space="preserve">Oracle-resistant identity binding (Claim 12): IDV provider cannot forge identity binding; per-submission keypair generated on device; biometric re-derivation for recovery without memorized secret.</w:t>
            </w:r>
          </w:p>
        </w:tc>
        <w:tc>
          <w:tcPr>
            <w:tcW w:type="pct" w:w="1000"/>
            <w:tcBorders>
              <w:top w:val="single" w:sz="8" w:space="0" w:color="000000"/>
              <w:left w:val="single" w:sz="8" w:space="0" w:color="000000"/>
              <w:bottom w:val="single" w:sz="8" w:space="0" w:color="000000"/>
              <w:right w:val="single" w:sz="8" w:space="0" w:color="000000"/>
            </w:tcBorders>
          </w:tcPr>
          <w:p>
            <w:pPr>
              <w:pStyle w:val="Compact"/>
              <w:jc w:val="left"/>
            </w:pPr>
            <w:r>
              <w:t xml:space="preserve">Claims 12, 63</w:t>
            </w:r>
          </w:p>
        </w:tc>
      </w:tr>
      <w:tr>
        <w:tc>
          <w:tcPr>
            <w:tcW w:type="pct" w:w="1250"/>
            <w:tcBorders>
              <w:top w:val="single" w:sz="8" w:space="0" w:color="000000"/>
              <w:left w:val="single" w:sz="8" w:space="0" w:color="000000"/>
              <w:bottom w:val="single" w:sz="8" w:space="0" w:color="000000"/>
              <w:right w:val="single" w:sz="8" w:space="0" w:color="000000"/>
            </w:tcBorders>
          </w:tcPr>
          <w:p>
            <w:pPr>
              <w:pStyle w:val="Compact"/>
              <w:jc w:val="left"/>
            </w:pPr>
            <w:r>
              <w:t xml:space="preserve">Transmission security</w:t>
            </w:r>
          </w:p>
        </w:tc>
        <w:tc>
          <w:tcPr>
            <w:tcW w:type="pct" w:w="2750"/>
            <w:tcBorders>
              <w:top w:val="single" w:sz="8" w:space="0" w:color="000000"/>
              <w:left w:val="single" w:sz="8" w:space="0" w:color="000000"/>
              <w:bottom w:val="single" w:sz="8" w:space="0" w:color="000000"/>
              <w:right w:val="single" w:sz="8" w:space="0" w:color="000000"/>
            </w:tcBorders>
          </w:tcPr>
          <w:p>
            <w:pPr>
              <w:pStyle w:val="Compact"/>
              <w:jc w:val="left"/>
            </w:pPr>
            <w:r>
              <w:t xml:space="preserve">Write-only posture on hostile network (Claim 11): no receipt retained on device post-submission; all payloads sealed before transmission; TLS enforced at API layer.</w:t>
            </w:r>
          </w:p>
        </w:tc>
        <w:tc>
          <w:tcPr>
            <w:tcW w:type="pct" w:w="1000"/>
            <w:tcBorders>
              <w:top w:val="single" w:sz="8" w:space="0" w:color="000000"/>
              <w:left w:val="single" w:sz="8" w:space="0" w:color="000000"/>
              <w:bottom w:val="single" w:sz="8" w:space="0" w:color="000000"/>
              <w:right w:val="single" w:sz="8" w:space="0" w:color="000000"/>
            </w:tcBorders>
          </w:tcPr>
          <w:p>
            <w:pPr>
              <w:pStyle w:val="Compact"/>
              <w:jc w:val="left"/>
            </w:pPr>
            <w:r>
              <w:t xml:space="preserve">Claims 11, 29</w:t>
            </w:r>
          </w:p>
        </w:tc>
      </w:tr>
    </w:tbl>
    <w:p>
      <w:pPr>
        <w:pStyle w:val="BodyText"/>
      </w:pPr>
      <w:r>
        <w:rPr>
          <w:b/>
          <w:bCs/>
        </w:rPr>
        <w:t xml:space="preserve">Note on the 2025/2026 HIPAA NPRM:</w:t>
      </w:r>
      <w:r>
        <w:t xml:space="preserve"> </w:t>
      </w:r>
      <w:r>
        <w:t xml:space="preserve">The proposed rule would additionally require: (1) 72-hour breach notification to HHS (reduced from 60 days); (2) annual technology asset inventories; (3) vulnerability scanning every 6 months; (4) network segmentation. None of these are addressed by the shyware structural layer — they are operational obligations for the deploying operator. See Operator Obligations below.</w:t>
      </w:r>
    </w:p>
    <w:bookmarkEnd w:id="24"/>
    <w:bookmarkStart w:id="25" w:name="ehr-operator-obligations"/>
    <w:p>
      <w:pPr>
        <w:numPr>
          <w:ilvl w:val="0"/>
          <w:numId w:val="1005"/>
        </w:numPr>
        <w:pStyle w:val="Heading2"/>
      </w:pPr>
      <w:r>
        <w:t xml:space="preserve">Operator Obligations</w:t>
      </w:r>
    </w:p>
    <w:p>
      <w:pPr>
        <w:numPr>
          <w:ilvl w:val="0"/>
          <w:numId w:val="1004"/>
        </w:numPr>
      </w:pPr>
      <w:r>
        <w:t xml:space="preserve">Register a production FHIR client ID and configure</w:t>
      </w:r>
      <w:r>
        <w:t xml:space="preserve"> </w:t>
      </w:r>
      <w:r>
        <w:rPr>
          <w:rStyle w:val="VerbatimChar"/>
        </w:rPr>
        <w:t xml:space="preserve">VITE_FHIR_CLIENT_ID</w:t>
      </w:r>
      <w:r>
        <w:t xml:space="preserve"> </w:t>
      </w:r>
      <w:r>
        <w:t xml:space="preserve">before production build.</w:t>
      </w:r>
    </w:p>
    <w:p>
      <w:pPr>
        <w:numPr>
          <w:ilvl w:val="0"/>
          <w:numId w:val="1004"/>
        </w:numPr>
      </w:pPr>
      <w:r>
        <w:t xml:space="preserve">Execute a signed DPA or BAA with each EHR provider and each sub-processor handling PHI before any health data flows.</w:t>
      </w:r>
    </w:p>
    <w:p>
      <w:pPr>
        <w:numPr>
          <w:ilvl w:val="0"/>
          <w:numId w:val="1004"/>
        </w:numPr>
      </w:pPr>
      <w:r>
        <w:t xml:space="preserve">Deploy a counsel-reviewed Art. 9(2)(a) consent UI at</w:t>
      </w:r>
      <w:r>
        <w:t xml:space="preserve"> </w:t>
      </w:r>
      <w:r>
        <w:rPr>
          <w:rStyle w:val="VerbatimChar"/>
        </w:rPr>
        <w:t xml:space="preserve">coach.keybox.fyi</w:t>
      </w:r>
      <w:r>
        <w:t xml:space="preserve"> </w:t>
      </w:r>
      <w:r>
        <w:t xml:space="preserve">before enabling EHR import in production.</w:t>
      </w:r>
    </w:p>
    <w:p>
      <w:pPr>
        <w:numPr>
          <w:ilvl w:val="0"/>
          <w:numId w:val="1004"/>
        </w:numPr>
      </w:pPr>
      <w:r>
        <w:t xml:space="preserve">Maintain a consent log (timestamp, resource types,</w:t>
      </w:r>
      <w:r>
        <w:t xml:space="preserve"> </w:t>
      </w:r>
      <w:r>
        <w:rPr>
          <w:rStyle w:val="VerbatimChar"/>
        </w:rPr>
        <w:t xml:space="preserve">consentId</w:t>
      </w:r>
      <w:r>
        <w:t xml:space="preserve">, withdrawal timestamp if applicable) under Art. 30(1).</w:t>
      </w:r>
    </w:p>
    <w:p>
      <w:pPr>
        <w:numPr>
          <w:ilvl w:val="0"/>
          <w:numId w:val="1004"/>
        </w:numPr>
      </w:pPr>
      <w:r>
        <w:t xml:space="preserve">Implement FHIR access token revocation in the erasure workflow.</w:t>
      </w:r>
    </w:p>
    <w:p>
      <w:pPr>
        <w:numPr>
          <w:ilvl w:val="0"/>
          <w:numId w:val="1004"/>
        </w:numPr>
      </w:pPr>
      <w:r>
        <w:t xml:space="preserve">Notify Shyware of any change of EHR provider at least 30 days in advance.</w:t>
      </w:r>
    </w:p>
    <w:p>
      <w:pPr>
        <w:numPr>
          <w:ilvl w:val="0"/>
          <w:numId w:val="1004"/>
        </w:numPr>
      </w:pPr>
      <w:r>
        <w:t xml:space="preserve">Complete a HIPAA risk analysis if the deployment involves US persons’ PHI.</w:t>
      </w:r>
    </w:p>
    <w:bookmarkEnd w:id="25"/>
    <w:bookmarkStart w:id="26" w:name="ehr-audit-retention"/>
    <w:p>
      <w:pPr>
        <w:numPr>
          <w:ilvl w:val="0"/>
          <w:numId w:val="1005"/>
        </w:numPr>
        <w:pStyle w:val="Heading2"/>
      </w:pPr>
      <w:r>
        <w:t xml:space="preserve">Audit and Retention</w:t>
      </w:r>
    </w:p>
    <w:p>
      <w:pPr>
        <w:pStyle w:val="FirstParagraph"/>
      </w:pPr>
      <w:r>
        <w:t xml:space="preserve">Health record consent logs must be retained for the period required by applicable law (minimum 6 years under HIPAA; Art. 5(1)(e) storage limitation under GDPR). Consent records stored in the shystore ledger are subject to Art. 17 erasure on patient request, with the caveat that erasure of the consent record terminates the patient’s ability to prove prior authorisation — document this tradeoff in the patient-facing consent UI.</w:t>
      </w:r>
    </w:p>
    <w:p>
      <w:pPr>
        <w:pStyle w:val="BodyText"/>
      </w:pPr>
      <w:r>
        <w:t xml:space="preserve">This schedule is incorporated by reference into the Shyware Data Processing Agreement and is published at</w:t>
      </w:r>
      <w:r>
        <w:t xml:space="preserve"> </w:t>
      </w:r>
      <w:r>
        <w:rPr>
          <w:rStyle w:val="VerbatimChar"/>
        </w:rPr>
        <w:t xml:space="preserve">https://shyware.fyi/legal/privacy/dpia/dpa/schedule-health</w:t>
      </w:r>
      <w:r>
        <w:t xml:space="preserve">. Swap the named provider by updating</w:t>
      </w:r>
      <w:r>
        <w:t xml:space="preserve"> </w:t>
      </w:r>
      <w:r>
        <w:rPr>
          <w:rStyle w:val="VerbatimChar"/>
        </w:rPr>
        <w:t xml:space="preserve">store.ehr_provider</w:t>
      </w:r>
      <w:r>
        <w:t xml:space="preserve"> </w:t>
      </w:r>
      <w:r>
        <w:t xml:space="preserve">in</w:t>
      </w:r>
      <w:r>
        <w:t xml:space="preserve"> </w:t>
      </w:r>
      <w:r>
        <w:rPr>
          <w:rStyle w:val="VerbatimChar"/>
        </w:rPr>
        <w:t xml:space="preserve">shyconfig.json</w:t>
      </w:r>
      <w:r>
        <w:t xml:space="preserve"> </w:t>
      </w:r>
      <w:r>
        <w:t xml:space="preserve">and executing a new DPA / BAA with the replacement provider before transitioning.</w:t>
      </w:r>
    </w:p>
    <w:bookmarkEnd w:id="26"/>
    <w:bookmarkEnd w:id="27"/>
    <w:sectPr w:rsidR="0042614C" w:rsidSect="004E12AC">
      <w:footerReference r:id="rId8" w:type="default"/>
      <w:headerReference r:id="rId9" w:type="first"/>
      <w:pgSz w:h="16838" w:w="11906"/>
      <w:pgMar w:bottom="1440" w:footer="737" w:gutter="0" w:header="360" w:left="1440" w:right="1440" w:top="1440"/>
      <w:pgNumType w:start="2"/>
      <w:cols w:space="708"/>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Wingdings 2">
    <w:panose1 w:val="050201020105070707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35263369"/>
      <w:docPartObj>
        <w:docPartGallery w:val="Page Numbers (Bottom of Page)"/>
        <w:docPartUnique/>
      </w:docPartObj>
    </w:sdtPr>
    <w:sdtEndPr/>
    <w:sdtContent>
      <w:p w14:paraId="72363A71" w14:textId="7410E4AE" w:rsidR="00595B8E" w:rsidRDefault="00595B8E" w:rsidP="00E41CC7">
        <w:pPr>
          <w:pStyle w:val="FooterEDPB"/>
        </w:pPr>
        <w:r w:rsidRPr="004722AF">
          <w:rPr>
            <w:rStyle w:val="FooterEDPBChar"/>
            <w:noProof/>
            <w:lang w:eastAsia="en-GB"/>
          </w:rPr>
          <w:drawing>
            <wp:anchor distT="0" distB="0" distL="114300" distR="114300" simplePos="0" relativeHeight="251656704" behindDoc="0" locked="0" layoutInCell="1" allowOverlap="1" wp14:anchorId="260A661A" wp14:editId="77FBAFAF">
              <wp:simplePos x="0" y="0"/>
              <wp:positionH relativeFrom="column">
                <wp:posOffset>3943020</wp:posOffset>
              </wp:positionH>
              <wp:positionV relativeFrom="paragraph">
                <wp:posOffset>39708</wp:posOffset>
              </wp:positionV>
              <wp:extent cx="2255844" cy="137424"/>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European-Data-Protection-Board.png"/>
                      <pic:cNvPicPr/>
                    </pic:nvPicPr>
                    <pic:blipFill rotWithShape="1">
                      <a:blip r:embed="rId1">
                        <a:extLst>
                          <a:ext uri="{28A0092B-C50C-407E-A947-70E740481C1C}">
                            <a14:useLocalDpi xmlns:a14="http://schemas.microsoft.com/office/drawing/2010/main" val="0"/>
                          </a:ext>
                        </a:extLst>
                      </a:blip>
                      <a:srcRect t="22364" b="12716"/>
                      <a:stretch/>
                    </pic:blipFill>
                    <pic:spPr bwMode="auto">
                      <a:xfrm>
                        <a:off x="0" y="0"/>
                        <a:ext cx="2266195" cy="13805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4722AF">
          <w:rPr>
            <w:rStyle w:val="FooterEDPBChar"/>
          </w:rPr>
          <w:fldChar w:fldCharType="begin"/>
        </w:r>
        <w:r w:rsidRPr="004722AF">
          <w:rPr>
            <w:rStyle w:val="FooterEDPBChar"/>
          </w:rPr>
          <w:instrText xml:space="preserve"> PAGE   \* MERGEFORMAT </w:instrText>
        </w:r>
        <w:r w:rsidRPr="004722AF">
          <w:rPr>
            <w:rStyle w:val="FooterEDPBChar"/>
          </w:rPr>
          <w:fldChar w:fldCharType="separate"/>
        </w:r>
        <w:r w:rsidR="004E12AC">
          <w:rPr>
            <w:rStyle w:val="FooterEDPBChar"/>
            <w:noProof/>
          </w:rPr>
          <w:t>14</w:t>
        </w:r>
        <w:r w:rsidRPr="004722AF">
          <w:rPr>
            <w:rStyle w:val="FooterEDPBChar"/>
          </w:rPr>
          <w:fldChar w:fldCharType="end"/>
        </w:r>
        <w:r w:rsidRPr="004722AF">
          <w:rPr>
            <w:rStyle w:val="FooterEDPBChar"/>
          </w:rPr>
          <w:t xml:space="preserve"> |</w:t>
        </w:r>
        <w:r w:rsidR="001C2895">
          <w:rPr>
            <w:rStyle w:val="FooterEDPBChar"/>
          </w:rPr>
          <w:t xml:space="preserve"> Adopted</w:t>
        </w:r>
        <w:r w:rsidRPr="004722AF">
          <w:rPr>
            <w:rStyle w:val="FooterEDPBChar"/>
          </w:rPr>
          <w:t xml:space="preserve"> </w:t>
        </w:r>
      </w:p>
    </w:sdtContent>
  </w:sdt>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mc="http://schemas.openxmlformats.org/markup-compatibility/2006" xmlns:r="http://schemas.openxmlformats.org/officeDocument/2006/relationships" xmlns:wp="http://schemas.openxmlformats.org/drawingml/2006/wordprocessingDrawing" xmlns:wp14="http://schemas.microsoft.com/office/word/2010/wordprocessingDrawing" xmlns:w="http://schemas.openxmlformats.org/wordprocessingml/2006/main" xmlns:w14="http://schemas.microsoft.com/office/word/2010/wordml" xmlns:wps="http://schemas.microsoft.com/office/word/2010/wordprocessingShape" xmlns:a="http://schemas.openxmlformats.org/drawingml/2006/main" mc:Ignorable="w14 wp14">
  <w:p>
    <w:pPr>
      <w:pStyle w:val="Header"/>
      <w:jc w:val="right"/>
      <w:spacing w:before="60" w:after="60"/>
    </w:pPr>
    <w:r>
      <w:rPr>
        <w:noProof/>
      </w:rPr>
      <w:drawing>
        <wp:anchor distT="0" distB="0" distL="0" distR="0" simplePos="0" relativeHeight="251660800" behindDoc="1" locked="1" layoutInCell="1" allowOverlap="0" wp14:anchorId="0F49D875" wp14:editId="1F01C477">
          <wp:simplePos x="0" y="0"/>
          <wp:positionH relativeFrom="page">
            <wp:align>left</wp:align>
          </wp:positionH>
          <wp:positionV relativeFrom="page">
            <wp:align>top</wp:align>
          </wp:positionV>
          <wp:extent cx="7552055" cy="975360"/>
          <wp:effectExtent l="0" t="0" r="0" b="0"/>
          <wp:wrapNone/>
          <wp:docPr id="4" name="HeaderBar"/>
          <wp:cNvGraphicFramePr/>
          <a:graphic>
            <a:graphicData uri="http://schemas.microsoft.com/office/word/2010/wordprocessingShape">
              <wps:wsp>
                <wps:cNvSpPr>
                  <a:spLocks noChangeArrowheads="1"/>
                </wps:cNvSpPr>
                <wps:spPr>
                  <a:xfrm>
                    <a:off x="0" y="0"/>
                    <a:ext cx="7552055" cy="975360"/>
                  </a:xfrm>
                  <a:prstGeom prst="rect">
                    <a:avLst/>
                  </a:prstGeom>
                  <a:solidFill>
                    <a:srgbClr val="CCFF66"/>
                  </a:solidFill>
                  <a:ln>
                    <a:noFill/>
                  </a:ln>
                </wps:spPr>
                <wps:bodyPr/>
              </wps:wsp>
            </a:graphicData>
          </a:graphic>
        </wp:anchor>
      </w:drawing>
    </w:r>
    <w:r>
      <w:rPr>
        <w:rFonts w:ascii="Glory" w:hAnsi="Glory" w:cs="Glory"/>
        <w:b/>
        <w:color w:val="0F172A"/>
        <w:sz w:val="14"/>
        <w:szCs w:val="14"/>
      </w:rPr>
      <w:t xml:space="preserve">co-mission — Sub-processor Schedule: EHR / FHIR Health Records</w:t>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527542"/>
    <w:multiLevelType w:val="hybridMultilevel"/>
    <w:tmpl w:val="356E4B16"/>
    <w:lvl w:ilvl="0" w:tplc="0332DB7E">
      <w:start w:val="1"/>
      <w:numFmt w:val="decimal"/>
      <w:pStyle w:val="Listofnumbers-EDPB"/>
      <w:lvlText w:val="%1"/>
      <w:lvlJc w:val="left"/>
      <w:pPr>
        <w:ind w:hanging="360" w:left="720"/>
      </w:pPr>
      <w:rPr>
        <w:rFonts w:ascii="Arial" w:cs="Calibri" w:hAnsi="Arial" w:hint="default"/>
        <w:b w:val="0"/>
        <w:bCs w:val="0"/>
        <w:i w:val="0"/>
        <w:iCs w:val="0"/>
        <w:caps w:val="0"/>
        <w:strike w:val="0"/>
        <w:dstrike w:val="0"/>
        <w:outline w:val="0"/>
        <w:shadow w:val="0"/>
        <w:emboss w:val="0"/>
        <w:imprint w:val="0"/>
        <w:vanish w:val="0"/>
        <w:color w:themeColor="text1" w:val="000000"/>
        <w:spacing w:val="0"/>
        <w:kern w:val="0"/>
        <w:position w:val="0"/>
        <w:sz w:val="22"/>
        <w:szCs w:val="22"/>
        <w:u w:val="none"/>
        <w:effect w:val="none"/>
        <w:vertAlign w:val="baseline"/>
        <w14:ligatures w14:val="none"/>
        <w14:numForm w14:val="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1">
    <w:nsid w:val="023A14D8"/>
    <w:multiLevelType w:val="hybridMultilevel"/>
    <w:tmpl w:val="A950F1F4"/>
    <w:lvl w:ilvl="0" w:tplc="08090003">
      <w:start w:val="1"/>
      <w:numFmt w:val="bullet"/>
      <w:lvlText w:val="o"/>
      <w:lvlJc w:val="left"/>
      <w:pPr>
        <w:ind w:hanging="360" w:left="720"/>
      </w:pPr>
      <w:rPr>
        <w:rFonts w:ascii="Courier New" w:cs="Courier New" w:hAnsi="Courier New"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2">
    <w:nsid w:val="0E0224D6"/>
    <w:multiLevelType w:val="multilevel"/>
    <w:tmpl w:val="C70EEC7E"/>
    <w:lvl w:ilvl="0">
      <w:numFmt w:val="decimal"/>
      <w:lvlText w:val="%1"/>
      <w:lvlJc w:val="left"/>
      <w:pPr>
        <w:ind w:hanging="360" w:left="360"/>
      </w:pPr>
      <w:rPr>
        <w:rFonts w:hint="default"/>
      </w:rPr>
    </w:lvl>
    <w:lvl w:ilvl="1">
      <w:start w:val="3"/>
      <w:numFmt w:val="decimal"/>
      <w:lvlText w:val="%1.%2"/>
      <w:lvlJc w:val="left"/>
      <w:pPr>
        <w:ind w:hanging="360" w:left="360"/>
      </w:pPr>
      <w:rPr>
        <w:rFonts w:hint="default"/>
      </w:rPr>
    </w:lvl>
    <w:lvl w:ilvl="2">
      <w:start w:val="1"/>
      <w:numFmt w:val="decimal"/>
      <w:lvlText w:val="%1.%2.%3"/>
      <w:lvlJc w:val="left"/>
      <w:pPr>
        <w:ind w:hanging="720" w:left="720"/>
      </w:pPr>
      <w:rPr>
        <w:rFonts w:hint="default"/>
      </w:rPr>
    </w:lvl>
    <w:lvl w:ilvl="3">
      <w:start w:val="1"/>
      <w:numFmt w:val="decimal"/>
      <w:lvlText w:val="%1.%2.%3.%4"/>
      <w:lvlJc w:val="left"/>
      <w:pPr>
        <w:ind w:hanging="720" w:left="720"/>
      </w:pPr>
      <w:rPr>
        <w:rFonts w:hint="default"/>
      </w:rPr>
    </w:lvl>
    <w:lvl w:ilvl="4">
      <w:start w:val="1"/>
      <w:numFmt w:val="decimal"/>
      <w:lvlText w:val="%1.%2.%3.%4.%5"/>
      <w:lvlJc w:val="left"/>
      <w:pPr>
        <w:ind w:hanging="1080" w:left="1080"/>
      </w:pPr>
      <w:rPr>
        <w:rFonts w:hint="default"/>
      </w:rPr>
    </w:lvl>
    <w:lvl w:ilvl="5">
      <w:start w:val="1"/>
      <w:numFmt w:val="decimal"/>
      <w:lvlText w:val="%1.%2.%3.%4.%5.%6"/>
      <w:lvlJc w:val="left"/>
      <w:pPr>
        <w:ind w:hanging="1440" w:left="1440"/>
      </w:pPr>
      <w:rPr>
        <w:rFonts w:hint="default"/>
      </w:rPr>
    </w:lvl>
    <w:lvl w:ilvl="6">
      <w:start w:val="1"/>
      <w:numFmt w:val="decimal"/>
      <w:lvlText w:val="%1.%2.%3.%4.%5.%6.%7"/>
      <w:lvlJc w:val="left"/>
      <w:pPr>
        <w:ind w:hanging="1440" w:left="1440"/>
      </w:pPr>
      <w:rPr>
        <w:rFonts w:hint="default"/>
      </w:rPr>
    </w:lvl>
    <w:lvl w:ilvl="7">
      <w:start w:val="1"/>
      <w:numFmt w:val="decimal"/>
      <w:lvlText w:val="%1.%2.%3.%4.%5.%6.%7.%8"/>
      <w:lvlJc w:val="left"/>
      <w:pPr>
        <w:ind w:hanging="1800" w:left="1800"/>
      </w:pPr>
      <w:rPr>
        <w:rFonts w:hint="default"/>
      </w:rPr>
    </w:lvl>
    <w:lvl w:ilvl="8">
      <w:start w:val="1"/>
      <w:numFmt w:val="decimal"/>
      <w:lvlText w:val="%1.%2.%3.%4.%5.%6.%7.%8.%9"/>
      <w:lvlJc w:val="left"/>
      <w:pPr>
        <w:ind w:hanging="1800" w:left="1800"/>
      </w:pPr>
      <w:rPr>
        <w:rFonts w:hint="default"/>
      </w:rPr>
    </w:lvl>
  </w:abstractNum>
  <w:abstractNum w15:restartNumberingAfterBreak="0" w:abstractNumId="3">
    <w:nsid w:val="11ED5838"/>
    <w:multiLevelType w:val="hybridMultilevel"/>
    <w:tmpl w:val="3384B8BE"/>
    <w:lvl w:ilvl="0" w:tplc="08090003">
      <w:start w:val="1"/>
      <w:numFmt w:val="bullet"/>
      <w:lvlText w:val="o"/>
      <w:lvlJc w:val="left"/>
      <w:pPr>
        <w:ind w:hanging="360" w:left="720"/>
      </w:pPr>
      <w:rPr>
        <w:rFonts w:ascii="Courier New" w:cs="Courier New" w:hAnsi="Courier New" w:hint="default"/>
      </w:rPr>
    </w:lvl>
    <w:lvl w:ilvl="1" w:tentative="1" w:tplc="FFFFFFFF">
      <w:start w:val="1"/>
      <w:numFmt w:val="lowerLetter"/>
      <w:lvlText w:val="%2."/>
      <w:lvlJc w:val="left"/>
      <w:pPr>
        <w:ind w:hanging="360" w:left="1440"/>
      </w:pPr>
    </w:lvl>
    <w:lvl w:ilvl="2" w:tentative="1" w:tplc="FFFFFFFF">
      <w:start w:val="1"/>
      <w:numFmt w:val="lowerRoman"/>
      <w:lvlText w:val="%3."/>
      <w:lvlJc w:val="right"/>
      <w:pPr>
        <w:ind w:hanging="180" w:left="2160"/>
      </w:pPr>
    </w:lvl>
    <w:lvl w:ilvl="3" w:tentative="1" w:tplc="FFFFFFFF">
      <w:start w:val="1"/>
      <w:numFmt w:val="decimal"/>
      <w:lvlText w:val="%4."/>
      <w:lvlJc w:val="left"/>
      <w:pPr>
        <w:ind w:hanging="360" w:left="2880"/>
      </w:pPr>
    </w:lvl>
    <w:lvl w:ilvl="4" w:tentative="1" w:tplc="FFFFFFFF">
      <w:start w:val="1"/>
      <w:numFmt w:val="lowerLetter"/>
      <w:lvlText w:val="%5."/>
      <w:lvlJc w:val="left"/>
      <w:pPr>
        <w:ind w:hanging="360" w:left="3600"/>
      </w:pPr>
    </w:lvl>
    <w:lvl w:ilvl="5" w:tentative="1" w:tplc="FFFFFFFF">
      <w:start w:val="1"/>
      <w:numFmt w:val="lowerRoman"/>
      <w:lvlText w:val="%6."/>
      <w:lvlJc w:val="right"/>
      <w:pPr>
        <w:ind w:hanging="180" w:left="4320"/>
      </w:pPr>
    </w:lvl>
    <w:lvl w:ilvl="6" w:tentative="1" w:tplc="FFFFFFFF">
      <w:start w:val="1"/>
      <w:numFmt w:val="decimal"/>
      <w:lvlText w:val="%7."/>
      <w:lvlJc w:val="left"/>
      <w:pPr>
        <w:ind w:hanging="360" w:left="5040"/>
      </w:pPr>
    </w:lvl>
    <w:lvl w:ilvl="7" w:tentative="1" w:tplc="FFFFFFFF">
      <w:start w:val="1"/>
      <w:numFmt w:val="lowerLetter"/>
      <w:lvlText w:val="%8."/>
      <w:lvlJc w:val="left"/>
      <w:pPr>
        <w:ind w:hanging="360" w:left="5760"/>
      </w:pPr>
    </w:lvl>
    <w:lvl w:ilvl="8" w:tentative="1" w:tplc="FFFFFFFF">
      <w:start w:val="1"/>
      <w:numFmt w:val="lowerRoman"/>
      <w:lvlText w:val="%9."/>
      <w:lvlJc w:val="right"/>
      <w:pPr>
        <w:ind w:hanging="180" w:left="6480"/>
      </w:pPr>
    </w:lvl>
  </w:abstractNum>
  <w:abstractNum w15:restartNumberingAfterBreak="0" w:abstractNumId="4">
    <w:nsid w:val="19BD0E53"/>
    <w:multiLevelType w:val="hybridMultilevel"/>
    <w:tmpl w:val="521EAEF8"/>
    <w:lvl w:ilvl="0" w:tplc="08090003">
      <w:start w:val="1"/>
      <w:numFmt w:val="bullet"/>
      <w:lvlText w:val="o"/>
      <w:lvlJc w:val="left"/>
      <w:pPr>
        <w:ind w:hanging="360" w:left="720"/>
      </w:pPr>
      <w:rPr>
        <w:rFonts w:ascii="Courier New" w:cs="Courier New" w:hAnsi="Courier New"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5">
    <w:nsid w:val="2C3816A7"/>
    <w:multiLevelType w:val="hybridMultilevel"/>
    <w:tmpl w:val="0BDAF450"/>
    <w:lvl w:ilvl="0" w:tplc="3B9EB0B4">
      <w:start w:val="1"/>
      <w:numFmt w:val="decimal"/>
      <w:lvlText w:val="%1."/>
      <w:lvlJc w:val="left"/>
      <w:pPr>
        <w:ind w:hanging="360" w:left="360"/>
      </w:pPr>
      <w:rPr>
        <w:rFonts w:hint="default"/>
        <w:b/>
        <w:bCs/>
      </w:rPr>
    </w:lvl>
    <w:lvl w:ilvl="1" w:tentative="1" w:tplc="0C0A0019">
      <w:start w:val="1"/>
      <w:numFmt w:val="lowerLetter"/>
      <w:lvlText w:val="%2."/>
      <w:lvlJc w:val="left"/>
      <w:pPr>
        <w:ind w:hanging="360" w:left="1080"/>
      </w:pPr>
    </w:lvl>
    <w:lvl w:ilvl="2" w:tentative="1" w:tplc="0C0A001B">
      <w:start w:val="1"/>
      <w:numFmt w:val="lowerRoman"/>
      <w:lvlText w:val="%3."/>
      <w:lvlJc w:val="right"/>
      <w:pPr>
        <w:ind w:hanging="180" w:left="1800"/>
      </w:pPr>
    </w:lvl>
    <w:lvl w:ilvl="3" w:tentative="1" w:tplc="0C0A000F">
      <w:start w:val="1"/>
      <w:numFmt w:val="decimal"/>
      <w:lvlText w:val="%4."/>
      <w:lvlJc w:val="left"/>
      <w:pPr>
        <w:ind w:hanging="360" w:left="2520"/>
      </w:pPr>
    </w:lvl>
    <w:lvl w:ilvl="4" w:tentative="1" w:tplc="0C0A0019">
      <w:start w:val="1"/>
      <w:numFmt w:val="lowerLetter"/>
      <w:lvlText w:val="%5."/>
      <w:lvlJc w:val="left"/>
      <w:pPr>
        <w:ind w:hanging="360" w:left="3240"/>
      </w:pPr>
    </w:lvl>
    <w:lvl w:ilvl="5" w:tentative="1" w:tplc="0C0A001B">
      <w:start w:val="1"/>
      <w:numFmt w:val="lowerRoman"/>
      <w:lvlText w:val="%6."/>
      <w:lvlJc w:val="right"/>
      <w:pPr>
        <w:ind w:hanging="180" w:left="3960"/>
      </w:pPr>
    </w:lvl>
    <w:lvl w:ilvl="6" w:tentative="1" w:tplc="0C0A000F">
      <w:start w:val="1"/>
      <w:numFmt w:val="decimal"/>
      <w:lvlText w:val="%7."/>
      <w:lvlJc w:val="left"/>
      <w:pPr>
        <w:ind w:hanging="360" w:left="4680"/>
      </w:pPr>
    </w:lvl>
    <w:lvl w:ilvl="7" w:tentative="1" w:tplc="0C0A0019">
      <w:start w:val="1"/>
      <w:numFmt w:val="lowerLetter"/>
      <w:lvlText w:val="%8."/>
      <w:lvlJc w:val="left"/>
      <w:pPr>
        <w:ind w:hanging="360" w:left="5400"/>
      </w:pPr>
    </w:lvl>
    <w:lvl w:ilvl="8" w:tentative="1" w:tplc="0C0A001B">
      <w:start w:val="1"/>
      <w:numFmt w:val="lowerRoman"/>
      <w:lvlText w:val="%9."/>
      <w:lvlJc w:val="right"/>
      <w:pPr>
        <w:ind w:hanging="180" w:left="6120"/>
      </w:pPr>
    </w:lvl>
  </w:abstractNum>
  <w:abstractNum w15:restartNumberingAfterBreak="0" w:abstractNumId="6">
    <w:nsid w:val="470A105A"/>
    <w:multiLevelType w:val="hybridMultilevel"/>
    <w:tmpl w:val="14B60DA2"/>
    <w:lvl w:ilvl="0" w:tplc="3F54FD6C">
      <w:start w:val="1"/>
      <w:numFmt w:val="decimal"/>
      <w:pStyle w:val="NumberedParagraph"/>
      <w:lvlText w:val="(%1)"/>
      <w:lvlJc w:val="left"/>
      <w:pPr>
        <w:ind w:hanging="360" w:left="360"/>
      </w:pPr>
      <w:rPr>
        <w:rFonts w:ascii="Arial" w:cs="Calibri" w:hAnsi="Arial" w:hint="default"/>
        <w:b w:val="0"/>
        <w:bCs w:val="0"/>
        <w:i w:val="0"/>
        <w:iCs w:val="0"/>
        <w:caps w:val="0"/>
        <w:smallCaps w:val="0"/>
        <w:strike w:val="0"/>
        <w:dstrike w:val="0"/>
        <w:outline w:val="0"/>
        <w:shadow w:val="0"/>
        <w:emboss w:val="0"/>
        <w:imprint w:val="0"/>
        <w:vanish w:val="0"/>
        <w:color w:themeColor="text1" w:val="000000"/>
        <w:spacing w:val="0"/>
        <w:kern w:val="0"/>
        <w:position w:val="0"/>
        <w:sz w:val="24"/>
        <w:szCs w:val="22"/>
        <w:u w:val="none"/>
        <w:effect w:val="none"/>
        <w:vertAlign w:val="baseline"/>
        <w14:ligatures w14:val="none"/>
        <w14:numForm w14:val="default"/>
      </w:rPr>
    </w:lvl>
    <w:lvl w:ilvl="1" w:tplc="250CAAB8">
      <w:numFmt w:val="bullet"/>
      <w:lvlText w:val="-"/>
      <w:lvlJc w:val="left"/>
      <w:pPr>
        <w:ind w:hanging="360" w:left="447"/>
      </w:pPr>
      <w:rPr>
        <w:rFonts w:ascii="Calibri" w:eastAsia="Times New Roman" w:hAnsi="Calibri" w:hint="default"/>
      </w:rPr>
    </w:lvl>
    <w:lvl w:ilvl="2" w:tentative="1" w:tplc="0809001B">
      <w:start w:val="1"/>
      <w:numFmt w:val="lowerRoman"/>
      <w:lvlText w:val="%3."/>
      <w:lvlJc w:val="right"/>
      <w:pPr>
        <w:ind w:hanging="180" w:left="1167"/>
      </w:pPr>
      <w:rPr>
        <w:rFonts w:cs="Times New Roman"/>
      </w:rPr>
    </w:lvl>
    <w:lvl w:ilvl="3" w:tentative="1" w:tplc="0809000F">
      <w:start w:val="1"/>
      <w:numFmt w:val="decimal"/>
      <w:lvlText w:val="%4."/>
      <w:lvlJc w:val="left"/>
      <w:pPr>
        <w:ind w:hanging="360" w:left="1887"/>
      </w:pPr>
      <w:rPr>
        <w:rFonts w:cs="Times New Roman"/>
      </w:rPr>
    </w:lvl>
    <w:lvl w:ilvl="4" w:tplc="08090019">
      <w:start w:val="1"/>
      <w:numFmt w:val="lowerLetter"/>
      <w:lvlText w:val="%5."/>
      <w:lvlJc w:val="left"/>
      <w:pPr>
        <w:ind w:hanging="360" w:left="2607"/>
      </w:pPr>
      <w:rPr>
        <w:rFonts w:cs="Times New Roman"/>
      </w:rPr>
    </w:lvl>
    <w:lvl w:ilvl="5" w:tentative="1" w:tplc="0809001B">
      <w:start w:val="1"/>
      <w:numFmt w:val="lowerRoman"/>
      <w:lvlText w:val="%6."/>
      <w:lvlJc w:val="right"/>
      <w:pPr>
        <w:ind w:hanging="180" w:left="3327"/>
      </w:pPr>
      <w:rPr>
        <w:rFonts w:cs="Times New Roman"/>
      </w:rPr>
    </w:lvl>
    <w:lvl w:ilvl="6" w:tentative="1" w:tplc="0809000F">
      <w:start w:val="1"/>
      <w:numFmt w:val="decimal"/>
      <w:lvlText w:val="%7."/>
      <w:lvlJc w:val="left"/>
      <w:pPr>
        <w:ind w:hanging="360" w:left="4047"/>
      </w:pPr>
      <w:rPr>
        <w:rFonts w:cs="Times New Roman"/>
      </w:rPr>
    </w:lvl>
    <w:lvl w:ilvl="7" w:tentative="1" w:tplc="08090019">
      <w:start w:val="1"/>
      <w:numFmt w:val="lowerLetter"/>
      <w:lvlText w:val="%8."/>
      <w:lvlJc w:val="left"/>
      <w:pPr>
        <w:ind w:hanging="360" w:left="4767"/>
      </w:pPr>
      <w:rPr>
        <w:rFonts w:cs="Times New Roman"/>
      </w:rPr>
    </w:lvl>
    <w:lvl w:ilvl="8" w:tentative="1" w:tplc="0809001B">
      <w:start w:val="1"/>
      <w:numFmt w:val="lowerRoman"/>
      <w:lvlText w:val="%9."/>
      <w:lvlJc w:val="right"/>
      <w:pPr>
        <w:ind w:hanging="180" w:left="5487"/>
      </w:pPr>
      <w:rPr>
        <w:rFonts w:cs="Times New Roman"/>
      </w:rPr>
    </w:lvl>
  </w:abstractNum>
  <w:abstractNum w15:restartNumberingAfterBreak="0" w:abstractNumId="7">
    <w:nsid w:val="4E3B6CDB"/>
    <w:multiLevelType w:val="multilevel"/>
    <w:tmpl w:val="BE0EAF1A"/>
    <w:lvl w:ilvl="0">
      <w:start w:val="1"/>
      <w:numFmt w:val="bullet"/>
      <w:lvlText w:val=""/>
      <w:lvlJc w:val="left"/>
      <w:pPr>
        <w:tabs>
          <w:tab w:pos="720" w:val="num"/>
        </w:tabs>
        <w:ind w:hanging="360" w:left="720"/>
      </w:pPr>
      <w:rPr>
        <w:rFonts w:ascii="Symbol" w:hAnsi="Symbol" w:hint="default"/>
        <w:sz w:val="20"/>
      </w:rPr>
    </w:lvl>
    <w:lvl w:ilvl="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8">
    <w:nsid w:val="57F76DF2"/>
    <w:multiLevelType w:val="hybridMultilevel"/>
    <w:tmpl w:val="AF0497B4"/>
    <w:lvl w:ilvl="0" w:tplc="4E463AC6">
      <w:start w:val="1"/>
      <w:numFmt w:val="bullet"/>
      <w:pStyle w:val="Listbullets-EDPB"/>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9">
    <w:nsid w:val="5E20358E"/>
    <w:multiLevelType w:val="multilevel"/>
    <w:tmpl w:val="723E238C"/>
    <w:lvl w:ilvl="0">
      <w:numFmt w:val="decimal"/>
      <w:lvlText w:val="%1"/>
      <w:lvlJc w:val="left"/>
      <w:pPr>
        <w:ind w:hanging="360" w:left="360"/>
      </w:pPr>
      <w:rPr>
        <w:rFonts w:hint="default"/>
      </w:rPr>
    </w:lvl>
    <w:lvl w:ilvl="1">
      <w:start w:val="1"/>
      <w:numFmt w:val="decimal"/>
      <w:isLgl/>
      <w:lvlText w:val="%1.%2"/>
      <w:lvlJc w:val="left"/>
      <w:pPr>
        <w:ind w:hanging="360" w:left="360"/>
      </w:pPr>
      <w:rPr>
        <w:rFonts w:hint="default"/>
      </w:rPr>
    </w:lvl>
    <w:lvl w:ilvl="2">
      <w:start w:val="1"/>
      <w:numFmt w:val="decimal"/>
      <w:isLgl/>
      <w:lvlText w:val="%1.%2.%3"/>
      <w:lvlJc w:val="left"/>
      <w:pPr>
        <w:ind w:hanging="720" w:left="720"/>
      </w:pPr>
      <w:rPr>
        <w:rFonts w:hint="default"/>
      </w:rPr>
    </w:lvl>
    <w:lvl w:ilvl="3">
      <w:start w:val="1"/>
      <w:numFmt w:val="decimal"/>
      <w:isLgl/>
      <w:lvlText w:val="%1.%2.%3.%4"/>
      <w:lvlJc w:val="left"/>
      <w:pPr>
        <w:ind w:hanging="720" w:left="720"/>
      </w:pPr>
      <w:rPr>
        <w:rFonts w:hint="default"/>
      </w:rPr>
    </w:lvl>
    <w:lvl w:ilvl="4">
      <w:start w:val="1"/>
      <w:numFmt w:val="decimal"/>
      <w:isLgl/>
      <w:lvlText w:val="%1.%2.%3.%4.%5"/>
      <w:lvlJc w:val="left"/>
      <w:pPr>
        <w:ind w:hanging="1080" w:left="1080"/>
      </w:pPr>
      <w:rPr>
        <w:rFonts w:hint="default"/>
      </w:rPr>
    </w:lvl>
    <w:lvl w:ilvl="5">
      <w:start w:val="1"/>
      <w:numFmt w:val="decimal"/>
      <w:isLgl/>
      <w:lvlText w:val="%1.%2.%3.%4.%5.%6"/>
      <w:lvlJc w:val="left"/>
      <w:pPr>
        <w:ind w:hanging="1080" w:left="1080"/>
      </w:pPr>
      <w:rPr>
        <w:rFonts w:hint="default"/>
      </w:rPr>
    </w:lvl>
    <w:lvl w:ilvl="6">
      <w:start w:val="1"/>
      <w:numFmt w:val="decimal"/>
      <w:isLgl/>
      <w:lvlText w:val="%1.%2.%3.%4.%5.%6.%7"/>
      <w:lvlJc w:val="left"/>
      <w:pPr>
        <w:ind w:hanging="1440" w:left="1440"/>
      </w:pPr>
      <w:rPr>
        <w:rFonts w:hint="default"/>
      </w:rPr>
    </w:lvl>
    <w:lvl w:ilvl="7">
      <w:start w:val="1"/>
      <w:numFmt w:val="decimal"/>
      <w:isLgl/>
      <w:lvlText w:val="%1.%2.%3.%4.%5.%6.%7.%8"/>
      <w:lvlJc w:val="left"/>
      <w:pPr>
        <w:ind w:hanging="1440" w:left="1440"/>
      </w:pPr>
      <w:rPr>
        <w:rFonts w:hint="default"/>
      </w:rPr>
    </w:lvl>
    <w:lvl w:ilvl="8">
      <w:start w:val="1"/>
      <w:numFmt w:val="decimal"/>
      <w:isLgl/>
      <w:lvlText w:val="%1.%2.%3.%4.%5.%6.%7.%8.%9"/>
      <w:lvlJc w:val="left"/>
      <w:pPr>
        <w:ind w:hanging="1440" w:left="1440"/>
      </w:pPr>
      <w:rPr>
        <w:rFonts w:hint="default"/>
      </w:rPr>
    </w:lvl>
  </w:abstractNum>
  <w:abstractNum w15:restartNumberingAfterBreak="0" w:abstractNumId="10">
    <w:nsid w:val="64D63807"/>
    <w:multiLevelType w:val="multilevel"/>
    <w:tmpl w:val="8056077E"/>
    <w:lvl w:ilvl="0">
      <w:start w:val="1"/>
      <w:numFmt w:val="decimal"/>
      <w:pStyle w:val="AnnexH1EDPB"/>
      <w:suff w:val="space"/>
      <w:lvlText w:val="Annex %1 "/>
      <w:lvlJc w:val="left"/>
      <w:pPr>
        <w:ind w:hanging="432" w:left="432"/>
      </w:pPr>
      <w:rPr>
        <w:rFonts w:ascii="Arial" w:hAnsi="Arial" w:hint="default"/>
        <w:b/>
        <w:i w:val="0"/>
        <w:caps w:val="0"/>
        <w:vanish w:val="0"/>
        <w:color w:themeColor="accent1" w:val="0A105D"/>
        <w:sz w:val="32"/>
      </w:rPr>
    </w:lvl>
    <w:lvl w:ilvl="1">
      <w:start w:val="1"/>
      <w:numFmt w:val="decimal"/>
      <w:lvlText w:val="%1.%2"/>
      <w:lvlJc w:val="left"/>
      <w:pPr>
        <w:ind w:hanging="576" w:left="576"/>
      </w:pPr>
      <w:rPr>
        <w:rFonts w:ascii="Arial" w:hAnsi="Arial" w:hint="default"/>
        <w:b/>
        <w:i w:val="0"/>
        <w:color w:themeColor="accent1" w:val="0A105D"/>
        <w:sz w:val="28"/>
      </w:rPr>
    </w:lvl>
    <w:lvl w:ilvl="2">
      <w:start w:val="1"/>
      <w:numFmt w:val="decimal"/>
      <w:lvlText w:val="%1.%2.%3"/>
      <w:lvlJc w:val="left"/>
      <w:pPr>
        <w:ind w:hanging="720" w:left="720"/>
      </w:pPr>
      <w:rPr>
        <w:rFonts w:hint="default"/>
      </w:rPr>
    </w:lvl>
    <w:lvl w:ilvl="3">
      <w:start w:val="1"/>
      <w:numFmt w:val="decimal"/>
      <w:lvlText w:val="%1.%2.%3.%4"/>
      <w:lvlJc w:val="left"/>
      <w:pPr>
        <w:ind w:hanging="864" w:left="864"/>
      </w:pPr>
      <w:rPr>
        <w:rFonts w:hint="default"/>
      </w:rPr>
    </w:lvl>
    <w:lvl w:ilvl="4">
      <w:start w:val="1"/>
      <w:numFmt w:val="decimal"/>
      <w:lvlText w:val="%1.%2.%3.%4.%5"/>
      <w:lvlJc w:val="left"/>
      <w:pPr>
        <w:ind w:hanging="1008" w:left="1008"/>
      </w:pPr>
      <w:rPr>
        <w:rFonts w:hint="default"/>
      </w:rPr>
    </w:lvl>
    <w:lvl w:ilvl="5">
      <w:start w:val="1"/>
      <w:numFmt w:val="decimal"/>
      <w:lvlText w:val="%1.%2.%3.%4.%5.%6"/>
      <w:lvlJc w:val="left"/>
      <w:pPr>
        <w:ind w:hanging="1152" w:left="1152"/>
      </w:pPr>
      <w:rPr>
        <w:rFonts w:hint="default"/>
      </w:rPr>
    </w:lvl>
    <w:lvl w:ilvl="6">
      <w:start w:val="1"/>
      <w:numFmt w:val="decimal"/>
      <w:lvlText w:val="%1.%2.%3.%4.%5.%6.%7"/>
      <w:lvlJc w:val="left"/>
      <w:pPr>
        <w:ind w:hanging="1296" w:left="1296"/>
      </w:pPr>
      <w:rPr>
        <w:rFonts w:hint="default"/>
      </w:rPr>
    </w:lvl>
    <w:lvl w:ilvl="7">
      <w:start w:val="1"/>
      <w:numFmt w:val="decimal"/>
      <w:lvlText w:val="%1.%2.%3.%4.%5.%6.%7.%8"/>
      <w:lvlJc w:val="left"/>
      <w:pPr>
        <w:ind w:hanging="1440" w:left="1440"/>
      </w:pPr>
      <w:rPr>
        <w:rFonts w:hint="default"/>
      </w:rPr>
    </w:lvl>
    <w:lvl w:ilvl="8">
      <w:start w:val="1"/>
      <w:numFmt w:val="decimal"/>
      <w:lvlText w:val="%1.%2.%3.%4.%5.%6.%7.%8.%9"/>
      <w:lvlJc w:val="left"/>
      <w:pPr>
        <w:ind w:hanging="1584" w:left="1584"/>
      </w:pPr>
      <w:rPr>
        <w:rFonts w:hint="default"/>
      </w:rPr>
    </w:lvl>
  </w:abstractNum>
  <w:abstractNum w15:restartNumberingAfterBreak="0" w:abstractNumId="11">
    <w:nsid w:val="682634CB"/>
    <w:multiLevelType w:val="multilevel"/>
    <w:tmpl w:val="DEEE0E52"/>
    <w:lvl w:ilvl="0">
      <w:start w:val="1"/>
      <w:numFmt w:val="decimal"/>
      <w:pStyle w:val="NumberedExampleinabox-EDPB"/>
      <w:lvlText w:val="Example %1:"/>
      <w:lvlJc w:val="left"/>
      <w:pPr>
        <w:ind w:hanging="360" w:left="1260"/>
      </w:pPr>
      <w:rPr>
        <w:rFonts w:cs="Times New Roman" w:hint="default"/>
        <w:b/>
        <w:i w:val="0"/>
        <w:color w:themeColor="accent1" w:val="0A105D"/>
      </w:rPr>
    </w:lvl>
    <w:lvl w:ilvl="1">
      <w:start w:val="1"/>
      <w:numFmt w:val="lowerLetter"/>
      <w:lvlText w:val="%2."/>
      <w:lvlJc w:val="left"/>
      <w:pPr>
        <w:ind w:hanging="360" w:left="2357"/>
      </w:pPr>
      <w:rPr>
        <w:rFonts w:cs="Times New Roman" w:hint="default"/>
      </w:rPr>
    </w:lvl>
    <w:lvl w:ilvl="2">
      <w:start w:val="1"/>
      <w:numFmt w:val="lowerRoman"/>
      <w:lvlText w:val="%3."/>
      <w:lvlJc w:val="right"/>
      <w:pPr>
        <w:ind w:hanging="180" w:left="3077"/>
      </w:pPr>
      <w:rPr>
        <w:rFonts w:cs="Times New Roman" w:hint="default"/>
      </w:rPr>
    </w:lvl>
    <w:lvl w:ilvl="3">
      <w:start w:val="1"/>
      <w:numFmt w:val="decimal"/>
      <w:lvlText w:val="%4."/>
      <w:lvlJc w:val="left"/>
      <w:pPr>
        <w:ind w:hanging="360" w:left="3797"/>
      </w:pPr>
      <w:rPr>
        <w:rFonts w:cs="Times New Roman" w:hint="default"/>
      </w:rPr>
    </w:lvl>
    <w:lvl w:ilvl="4">
      <w:start w:val="1"/>
      <w:numFmt w:val="lowerLetter"/>
      <w:lvlText w:val="%5."/>
      <w:lvlJc w:val="left"/>
      <w:pPr>
        <w:ind w:hanging="360" w:left="4517"/>
      </w:pPr>
      <w:rPr>
        <w:rFonts w:cs="Times New Roman" w:hint="default"/>
      </w:rPr>
    </w:lvl>
    <w:lvl w:ilvl="5">
      <w:start w:val="1"/>
      <w:numFmt w:val="lowerRoman"/>
      <w:lvlText w:val="%6."/>
      <w:lvlJc w:val="right"/>
      <w:pPr>
        <w:ind w:hanging="180" w:left="5237"/>
      </w:pPr>
      <w:rPr>
        <w:rFonts w:cs="Times New Roman" w:hint="default"/>
      </w:rPr>
    </w:lvl>
    <w:lvl w:ilvl="6">
      <w:start w:val="1"/>
      <w:numFmt w:val="decimal"/>
      <w:lvlText w:val="%7."/>
      <w:lvlJc w:val="left"/>
      <w:pPr>
        <w:ind w:hanging="360" w:left="5957"/>
      </w:pPr>
      <w:rPr>
        <w:rFonts w:cs="Times New Roman" w:hint="default"/>
      </w:rPr>
    </w:lvl>
    <w:lvl w:ilvl="7">
      <w:start w:val="1"/>
      <w:numFmt w:val="lowerLetter"/>
      <w:lvlText w:val="%8."/>
      <w:lvlJc w:val="left"/>
      <w:pPr>
        <w:ind w:hanging="360" w:left="6677"/>
      </w:pPr>
      <w:rPr>
        <w:rFonts w:cs="Times New Roman" w:hint="default"/>
      </w:rPr>
    </w:lvl>
    <w:lvl w:ilvl="8">
      <w:start w:val="1"/>
      <w:numFmt w:val="lowerRoman"/>
      <w:lvlText w:val="%9."/>
      <w:lvlJc w:val="right"/>
      <w:pPr>
        <w:ind w:hanging="180" w:left="7397"/>
      </w:pPr>
      <w:rPr>
        <w:rFonts w:cs="Times New Roman" w:hint="default"/>
      </w:rPr>
    </w:lvl>
  </w:abstractNum>
  <w:abstractNum w15:restartNumberingAfterBreak="0" w:abstractNumId="12">
    <w:nsid w:val="697A3767"/>
    <w:multiLevelType w:val="hybridMultilevel"/>
    <w:tmpl w:val="681EAF7C"/>
    <w:lvl w:ilvl="0" w:tplc="08090003">
      <w:start w:val="1"/>
      <w:numFmt w:val="bullet"/>
      <w:lvlText w:val="o"/>
      <w:lvlJc w:val="left"/>
      <w:pPr>
        <w:ind w:hanging="360" w:left="720"/>
      </w:pPr>
      <w:rPr>
        <w:rFonts w:ascii="Courier New" w:cs="Courier New" w:hAnsi="Courier New"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13">
    <w:nsid w:val="778F70C8"/>
    <w:multiLevelType w:val="multilevel"/>
    <w:tmpl w:val="BCFA67AC"/>
    <w:lvl w:ilvl="0">
      <w:start w:val="1"/>
      <w:numFmt w:val="decimal"/>
      <w:pStyle w:val="Heading1"/>
      <w:suff w:val="space"/>
      <w:lvlText w:val="%1 "/>
      <w:lvlJc w:val="left"/>
      <w:pPr>
        <w:ind w:firstLine="0" w:left="0"/>
      </w:pPr>
      <w:rPr>
        <w:rFonts w:ascii="Arial" w:hAnsi="Arial" w:hint="default"/>
        <w:b/>
        <w:i w:val="0"/>
        <w:caps w:val="0"/>
        <w:vanish w:val="0"/>
        <w:color w:themeColor="accent3" w:val="0A105D"/>
        <w:sz w:val="32"/>
      </w:rPr>
    </w:lvl>
    <w:lvl w:ilvl="1">
      <w:start w:val="1"/>
      <w:numFmt w:val="decimal"/>
      <w:pStyle w:val="Heading2"/>
      <w:suff w:val="space"/>
      <w:lvlText w:val="%1.%2"/>
      <w:lvlJc w:val="left"/>
      <w:pPr>
        <w:ind w:hanging="5387" w:left="5387"/>
      </w:pPr>
      <w:rPr>
        <w:rFonts w:ascii="Arial" w:hAnsi="Arial" w:hint="default"/>
        <w:b/>
        <w:i w:val="0"/>
        <w:sz w:val="28"/>
      </w:rPr>
    </w:lvl>
    <w:lvl w:ilvl="2">
      <w:start w:val="1"/>
      <w:numFmt w:val="decimal"/>
      <w:pStyle w:val="Heading3"/>
      <w:suff w:val="space"/>
      <w:lvlText w:val="%1.%2.%3"/>
      <w:lvlJc w:val="left"/>
      <w:pPr>
        <w:ind w:firstLine="0" w:left="0"/>
      </w:pPr>
      <w:rPr>
        <w:rFonts w:ascii="Arial" w:hAnsi="Arial" w:hint="default"/>
        <w:b/>
        <w:i w:val="0"/>
        <w:color w:themeColor="accent1" w:val="0A105D"/>
        <w:sz w:val="24"/>
      </w:rPr>
    </w:lvl>
    <w:lvl w:ilvl="3">
      <w:start w:val="1"/>
      <w:numFmt w:val="decimal"/>
      <w:suff w:val="space"/>
      <w:lvlText w:val="%1.%2.%3.%4"/>
      <w:lvlJc w:val="left"/>
      <w:pPr>
        <w:ind w:firstLine="0" w:left="0"/>
      </w:pPr>
      <w:rPr>
        <w:rFonts w:ascii="Arial" w:hAnsi="Arial" w:hint="default"/>
        <w:b/>
        <w:i w:val="0"/>
        <w:color w:themeColor="accent2" w:val="08149C"/>
        <w:sz w:val="22"/>
      </w:rPr>
    </w:lvl>
    <w:lvl w:ilvl="4">
      <w:start w:val="1"/>
      <w:numFmt w:val="decimal"/>
      <w:suff w:val="space"/>
      <w:lvlText w:val="%1.%2.%3.%4.%5"/>
      <w:lvlJc w:val="left"/>
      <w:pPr>
        <w:ind w:firstLine="0" w:left="0"/>
      </w:pPr>
      <w:rPr>
        <w:rFonts w:ascii="Arial" w:hAnsi="Arial" w:hint="default"/>
        <w:b/>
        <w:i w:val="0"/>
        <w:sz w:val="22"/>
      </w:rPr>
    </w:lvl>
    <w:lvl w:ilvl="5">
      <w:start w:val="1"/>
      <w:numFmt w:val="decimal"/>
      <w:pStyle w:val="Heading6"/>
      <w:suff w:val="space"/>
      <w:lvlText w:val="%1.%2.%3.%4.%5.%6"/>
      <w:lvlJc w:val="left"/>
      <w:pPr>
        <w:ind w:firstLine="0" w:left="0"/>
      </w:pPr>
      <w:rPr>
        <w:rFonts w:hint="default"/>
      </w:rPr>
    </w:lvl>
    <w:lvl w:ilvl="6">
      <w:start w:val="1"/>
      <w:numFmt w:val="decimal"/>
      <w:pStyle w:val="Heading7"/>
      <w:suff w:val="space"/>
      <w:lvlText w:val="%1.%2.%3.%4.%5.%6.%7"/>
      <w:lvlJc w:val="left"/>
      <w:pPr>
        <w:ind w:firstLine="0" w:left="0"/>
      </w:pPr>
      <w:rPr>
        <w:rFonts w:hint="default"/>
      </w:rPr>
    </w:lvl>
    <w:lvl w:ilvl="7">
      <w:start w:val="1"/>
      <w:numFmt w:val="decimal"/>
      <w:pStyle w:val="Heading8"/>
      <w:suff w:val="space"/>
      <w:lvlText w:val="%1.%2.%3.%4.%5.%6.%7.%8"/>
      <w:lvlJc w:val="left"/>
      <w:pPr>
        <w:ind w:firstLine="0" w:left="0"/>
      </w:pPr>
      <w:rPr>
        <w:rFonts w:hint="default"/>
      </w:rPr>
    </w:lvl>
    <w:lvl w:ilvl="8">
      <w:start w:val="1"/>
      <w:numFmt w:val="decimal"/>
      <w:pStyle w:val="Heading9"/>
      <w:lvlText w:val="%1.%2.%3.%4.%5.%6.%7.%8.%9"/>
      <w:lvlJc w:val="left"/>
      <w:pPr>
        <w:ind w:hanging="1584" w:left="1584"/>
      </w:pPr>
      <w:rPr>
        <w:rFonts w:hint="default"/>
      </w:rPr>
    </w:lvl>
  </w:abstractNum>
  <w:abstractNum w15:restartNumberingAfterBreak="0" w:abstractNumId="14">
    <w:nsid w:val="7BCE62D3"/>
    <w:multiLevelType w:val="hybridMultilevel"/>
    <w:tmpl w:val="CA34CDF0"/>
    <w:lvl w:ilvl="0" w:tplc="252A41E2">
      <w:start w:val="1"/>
      <w:numFmt w:val="decimal"/>
      <w:pStyle w:val="Numberedparagraph-EDPB"/>
      <w:lvlText w:val="%1"/>
      <w:lvlJc w:val="left"/>
      <w:pPr>
        <w:ind w:hanging="360" w:left="153"/>
      </w:pPr>
      <w:rPr>
        <w:rFonts w:ascii="Arial" w:cs="Calibri" w:hAnsi="Arial" w:hint="default"/>
        <w:b w:val="0"/>
        <w:bCs w:val="0"/>
        <w:i w:val="0"/>
        <w:iCs w:val="0"/>
        <w:caps w:val="0"/>
        <w:smallCaps w:val="0"/>
        <w:strike w:val="0"/>
        <w:dstrike w:val="0"/>
        <w:outline w:val="0"/>
        <w:shadow w:val="0"/>
        <w:emboss w:val="0"/>
        <w:imprint w:val="0"/>
        <w:vanish w:val="0"/>
        <w:color w:themeColor="text1" w:val="000000"/>
        <w:spacing w:val="0"/>
        <w:kern w:val="0"/>
        <w:position w:val="0"/>
        <w:sz w:val="22"/>
        <w:szCs w:val="22"/>
        <w:u w:val="none"/>
        <w:effect w:val="none"/>
        <w:vertAlign w:val="baseline"/>
        <w14:ligatures w14:val="none"/>
        <w14:numForm w14:val="default"/>
      </w:rPr>
    </w:lvl>
    <w:lvl w:ilvl="1" w:tentative="1" w:tplc="08090019">
      <w:start w:val="1"/>
      <w:numFmt w:val="lowerLetter"/>
      <w:lvlText w:val="%2."/>
      <w:lvlJc w:val="left"/>
      <w:pPr>
        <w:ind w:hanging="360" w:left="873"/>
      </w:pPr>
    </w:lvl>
    <w:lvl w:ilvl="2" w:tentative="1" w:tplc="0809001B">
      <w:start w:val="1"/>
      <w:numFmt w:val="lowerRoman"/>
      <w:lvlText w:val="%3."/>
      <w:lvlJc w:val="right"/>
      <w:pPr>
        <w:ind w:hanging="180" w:left="1593"/>
      </w:pPr>
    </w:lvl>
    <w:lvl w:ilvl="3" w:tentative="1" w:tplc="0809000F">
      <w:start w:val="1"/>
      <w:numFmt w:val="decimal"/>
      <w:lvlText w:val="%4."/>
      <w:lvlJc w:val="left"/>
      <w:pPr>
        <w:ind w:hanging="360" w:left="2313"/>
      </w:pPr>
    </w:lvl>
    <w:lvl w:ilvl="4" w:tentative="1" w:tplc="08090019">
      <w:start w:val="1"/>
      <w:numFmt w:val="lowerLetter"/>
      <w:lvlText w:val="%5."/>
      <w:lvlJc w:val="left"/>
      <w:pPr>
        <w:ind w:hanging="360" w:left="3033"/>
      </w:pPr>
    </w:lvl>
    <w:lvl w:ilvl="5" w:tentative="1" w:tplc="0809001B">
      <w:start w:val="1"/>
      <w:numFmt w:val="lowerRoman"/>
      <w:lvlText w:val="%6."/>
      <w:lvlJc w:val="right"/>
      <w:pPr>
        <w:ind w:hanging="180" w:left="3753"/>
      </w:pPr>
    </w:lvl>
    <w:lvl w:ilvl="6" w:tentative="1" w:tplc="0809000F">
      <w:start w:val="1"/>
      <w:numFmt w:val="decimal"/>
      <w:lvlText w:val="%7."/>
      <w:lvlJc w:val="left"/>
      <w:pPr>
        <w:ind w:hanging="360" w:left="4473"/>
      </w:pPr>
    </w:lvl>
    <w:lvl w:ilvl="7" w:tentative="1" w:tplc="08090019">
      <w:start w:val="1"/>
      <w:numFmt w:val="lowerLetter"/>
      <w:lvlText w:val="%8."/>
      <w:lvlJc w:val="left"/>
      <w:pPr>
        <w:ind w:hanging="360" w:left="5193"/>
      </w:pPr>
    </w:lvl>
    <w:lvl w:ilvl="8" w:tentative="1" w:tplc="0809001B">
      <w:start w:val="1"/>
      <w:numFmt w:val="lowerRoman"/>
      <w:lvlText w:val="%9."/>
      <w:lvlJc w:val="right"/>
      <w:pPr>
        <w:ind w:hanging="180" w:left="5913"/>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
    <w:nsid w:val="0FA12B3C"/>
    <w:multiLevelType w:val="multiLevel"/>
    <w:tmpl w:val="04090029"/>
    <w:lvl w:ilvl="0">
      <w:start w:val="1"/>
      <w:numFmt w:val="decimal"/>
      <w:lvlText w:val="%1"/>
      <w:lvlJc w:val="left"/>
    </w:lvl>
    <w:lvl w:ilvl="1">
      <w:start w:val="1"/>
      <w:numFmt w:val="decimal"/>
      <w:lvlText w:val="%1.%2"/>
      <w:lvlJc w:val="left"/>
    </w:lvl>
    <w:lvl w:ilvl="2">
      <w:start w:val="1"/>
      <w:numFmt w:val="lowerLetter"/>
      <w:lvlText w:val="%1.%2.%3"/>
      <w:lvlJc w:val="left"/>
    </w:lvl>
  </w:abstractNum>
  <w:num w16cid:durableId="1203324735" w:numId="1">
    <w:abstractNumId w:val="11"/>
  </w:num>
  <w:num w16cid:durableId="828400307" w:numId="2">
    <w:abstractNumId w:val="6"/>
  </w:num>
  <w:num w16cid:durableId="690375217" w:numId="3">
    <w:abstractNumId w:val="14"/>
  </w:num>
  <w:num w16cid:durableId="1944413349" w:numId="4">
    <w:abstractNumId w:val="8"/>
  </w:num>
  <w:num w16cid:durableId="1312566294" w:numId="5">
    <w:abstractNumId w:val="0"/>
  </w:num>
  <w:num w16cid:durableId="1850485742" w:numId="6">
    <w:abstractNumId w:val="10"/>
  </w:num>
  <w:num w16cid:durableId="2009207441" w:numId="7">
    <w:abstractNumId w:val="13"/>
  </w:num>
  <w:num w16cid:durableId="1497963150" w:numId="8">
    <w:abstractNumId w:val="9"/>
  </w:num>
  <w:num w16cid:durableId="328751044" w:numId="9">
    <w:abstractNumId w:val="2"/>
  </w:num>
  <w:num w16cid:durableId="339896839" w:numId="10">
    <w:abstractNumId w:val="5"/>
  </w:num>
  <w:num w16cid:durableId="40328966" w:numId="11">
    <w:abstractNumId w:val="7"/>
  </w:num>
  <w:num w16cid:durableId="1481845719" w:numId="12">
    <w:abstractNumId w:val="4"/>
  </w:num>
  <w:num w16cid:durableId="590969864" w:numId="13">
    <w:abstractNumId w:val="3"/>
  </w:num>
  <w:num w16cid:durableId="626934513" w:numId="14">
    <w:abstractNumId w:val="12"/>
  </w:num>
  <w:num w16cid:durableId="751319523" w:numId="15">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2"/>
    <w:lvlOverride w:ilvl="0">
      <w:startOverride w:val="1"/>
    </w:lvlOverride>
    <w:lvlOverride w:ilvl="1">
      <w:startOverride w:val="1"/>
    </w:lvlOverride>
    <w:lvlOverride w:ilvl="2">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removePersonalInformation/>
  <w:removeDateAndTime/>
  <w:displayBackgroundShape/>
  <w:embedSystemFonts/>
  <w:activeWritingStyle w:appName="MSWord" w:checkStyle="0" w:dllVersion="6" w:lang="pt-PT" w:nlCheck="1" w:vendorID="64"/>
  <w:proofState w:grammar="clean" w:spelling="clean"/>
  <w:stylePaneFormatFilter w:allStyles="1" w:alternateStyleNames="1" w:clearFormatting="1" w:customStyles="0" w:directFormattingOnNumbering="0" w:directFormattingOnParagraphs="0" w:directFormattingOnRuns="0" w:directFormattingOnTables="0" w:headingStyles="1" w:latentStyles="0" w:numberingStyles="0" w:stylesInUse="0" w:tableStyles="0" w:top3HeadingStyles="0" w:val="9021" w:visibleStyles="0"/>
  <w:doNotTrackMoves/>
  <w:styleLockTheme/>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0283"/>
    <w:rsid w:val="00000E9A"/>
    <w:rsid w:val="00002024"/>
    <w:rsid w:val="00007177"/>
    <w:rsid w:val="00010BC6"/>
    <w:rsid w:val="00011B27"/>
    <w:rsid w:val="00054C03"/>
    <w:rsid w:val="00081837"/>
    <w:rsid w:val="0008690C"/>
    <w:rsid w:val="000B0171"/>
    <w:rsid w:val="000E559D"/>
    <w:rsid w:val="000E6D81"/>
    <w:rsid w:val="000F3E09"/>
    <w:rsid w:val="001427A8"/>
    <w:rsid w:val="00151147"/>
    <w:rsid w:val="0016334A"/>
    <w:rsid w:val="00167CE9"/>
    <w:rsid w:val="00177355"/>
    <w:rsid w:val="0018123B"/>
    <w:rsid w:val="00185008"/>
    <w:rsid w:val="001A0C5A"/>
    <w:rsid w:val="001B06D2"/>
    <w:rsid w:val="001B469B"/>
    <w:rsid w:val="001C1D3C"/>
    <w:rsid w:val="001C2895"/>
    <w:rsid w:val="001C712E"/>
    <w:rsid w:val="001E5742"/>
    <w:rsid w:val="001F1175"/>
    <w:rsid w:val="00203944"/>
    <w:rsid w:val="00217CED"/>
    <w:rsid w:val="00217E28"/>
    <w:rsid w:val="002241BE"/>
    <w:rsid w:val="002321F7"/>
    <w:rsid w:val="00252D30"/>
    <w:rsid w:val="0025330E"/>
    <w:rsid w:val="0027362F"/>
    <w:rsid w:val="00274087"/>
    <w:rsid w:val="00291EF2"/>
    <w:rsid w:val="00294BAB"/>
    <w:rsid w:val="002A2AB8"/>
    <w:rsid w:val="002A477B"/>
    <w:rsid w:val="002A6295"/>
    <w:rsid w:val="002E0587"/>
    <w:rsid w:val="002E2867"/>
    <w:rsid w:val="00301F1D"/>
    <w:rsid w:val="00302B85"/>
    <w:rsid w:val="00305F53"/>
    <w:rsid w:val="0030610D"/>
    <w:rsid w:val="00341F27"/>
    <w:rsid w:val="00355B08"/>
    <w:rsid w:val="00366934"/>
    <w:rsid w:val="00380F75"/>
    <w:rsid w:val="00390FD4"/>
    <w:rsid w:val="003B1F77"/>
    <w:rsid w:val="003D6297"/>
    <w:rsid w:val="00400936"/>
    <w:rsid w:val="004100F5"/>
    <w:rsid w:val="004201CA"/>
    <w:rsid w:val="00421180"/>
    <w:rsid w:val="0042614C"/>
    <w:rsid w:val="004430C1"/>
    <w:rsid w:val="00446B6F"/>
    <w:rsid w:val="00446C23"/>
    <w:rsid w:val="004674BC"/>
    <w:rsid w:val="004722AF"/>
    <w:rsid w:val="0047378B"/>
    <w:rsid w:val="004A2F30"/>
    <w:rsid w:val="004B4264"/>
    <w:rsid w:val="004B5C8E"/>
    <w:rsid w:val="004C52C4"/>
    <w:rsid w:val="004E12AC"/>
    <w:rsid w:val="004F1A2A"/>
    <w:rsid w:val="0051363B"/>
    <w:rsid w:val="0053562E"/>
    <w:rsid w:val="00557DA5"/>
    <w:rsid w:val="00575CEB"/>
    <w:rsid w:val="005762E3"/>
    <w:rsid w:val="00590876"/>
    <w:rsid w:val="00595B77"/>
    <w:rsid w:val="00595B8E"/>
    <w:rsid w:val="006012A1"/>
    <w:rsid w:val="00602D85"/>
    <w:rsid w:val="00603AE3"/>
    <w:rsid w:val="00607C02"/>
    <w:rsid w:val="00637169"/>
    <w:rsid w:val="0065506B"/>
    <w:rsid w:val="00687014"/>
    <w:rsid w:val="00690B21"/>
    <w:rsid w:val="00692143"/>
    <w:rsid w:val="006C06CD"/>
    <w:rsid w:val="006C1F81"/>
    <w:rsid w:val="006D0B5F"/>
    <w:rsid w:val="006D0DFC"/>
    <w:rsid w:val="00706ECB"/>
    <w:rsid w:val="00721333"/>
    <w:rsid w:val="00722002"/>
    <w:rsid w:val="00737878"/>
    <w:rsid w:val="0075187D"/>
    <w:rsid w:val="00774C30"/>
    <w:rsid w:val="00781FF4"/>
    <w:rsid w:val="00782DFE"/>
    <w:rsid w:val="00791A24"/>
    <w:rsid w:val="007974B5"/>
    <w:rsid w:val="007A17E8"/>
    <w:rsid w:val="007B3509"/>
    <w:rsid w:val="007B75F9"/>
    <w:rsid w:val="00801461"/>
    <w:rsid w:val="008047F7"/>
    <w:rsid w:val="00820529"/>
    <w:rsid w:val="00824179"/>
    <w:rsid w:val="00824272"/>
    <w:rsid w:val="00852449"/>
    <w:rsid w:val="00863C60"/>
    <w:rsid w:val="008765BE"/>
    <w:rsid w:val="00892AEB"/>
    <w:rsid w:val="00894C8D"/>
    <w:rsid w:val="008B61AE"/>
    <w:rsid w:val="008B6AE1"/>
    <w:rsid w:val="008C11D8"/>
    <w:rsid w:val="008E3361"/>
    <w:rsid w:val="008E6321"/>
    <w:rsid w:val="009126AE"/>
    <w:rsid w:val="00924240"/>
    <w:rsid w:val="00952F77"/>
    <w:rsid w:val="00957EE6"/>
    <w:rsid w:val="00964490"/>
    <w:rsid w:val="009A25EE"/>
    <w:rsid w:val="009B0283"/>
    <w:rsid w:val="009C396C"/>
    <w:rsid w:val="00A04D9C"/>
    <w:rsid w:val="00A15A8D"/>
    <w:rsid w:val="00A41BC3"/>
    <w:rsid w:val="00A46A52"/>
    <w:rsid w:val="00A5238F"/>
    <w:rsid w:val="00A73F8F"/>
    <w:rsid w:val="00A81F5A"/>
    <w:rsid w:val="00A85568"/>
    <w:rsid w:val="00AA2554"/>
    <w:rsid w:val="00AC3E0B"/>
    <w:rsid w:val="00AC66C9"/>
    <w:rsid w:val="00AD4D8C"/>
    <w:rsid w:val="00AE3BAD"/>
    <w:rsid w:val="00B13330"/>
    <w:rsid w:val="00B247DE"/>
    <w:rsid w:val="00B3739D"/>
    <w:rsid w:val="00B66BB9"/>
    <w:rsid w:val="00B76056"/>
    <w:rsid w:val="00BB6F65"/>
    <w:rsid w:val="00BC69A7"/>
    <w:rsid w:val="00BF5459"/>
    <w:rsid w:val="00C11A66"/>
    <w:rsid w:val="00C1546D"/>
    <w:rsid w:val="00C25EF8"/>
    <w:rsid w:val="00C3303D"/>
    <w:rsid w:val="00C5252A"/>
    <w:rsid w:val="00C56806"/>
    <w:rsid w:val="00C61CAF"/>
    <w:rsid w:val="00C91E23"/>
    <w:rsid w:val="00CA15A5"/>
    <w:rsid w:val="00CA568F"/>
    <w:rsid w:val="00CC256C"/>
    <w:rsid w:val="00CD1339"/>
    <w:rsid w:val="00CE2D25"/>
    <w:rsid w:val="00CF0C6D"/>
    <w:rsid w:val="00D210AB"/>
    <w:rsid w:val="00D217B5"/>
    <w:rsid w:val="00D31D4E"/>
    <w:rsid w:val="00D36A46"/>
    <w:rsid w:val="00D4049E"/>
    <w:rsid w:val="00D45A82"/>
    <w:rsid w:val="00D55ED2"/>
    <w:rsid w:val="00D800FE"/>
    <w:rsid w:val="00D87FDF"/>
    <w:rsid w:val="00DD52B6"/>
    <w:rsid w:val="00DD54AA"/>
    <w:rsid w:val="00DE51F4"/>
    <w:rsid w:val="00DE5596"/>
    <w:rsid w:val="00E232DD"/>
    <w:rsid w:val="00E2500E"/>
    <w:rsid w:val="00E41CC7"/>
    <w:rsid w:val="00E45413"/>
    <w:rsid w:val="00E55FCA"/>
    <w:rsid w:val="00E62F5F"/>
    <w:rsid w:val="00E67185"/>
    <w:rsid w:val="00E80001"/>
    <w:rsid w:val="00EB5B9A"/>
    <w:rsid w:val="00EC5D33"/>
    <w:rsid w:val="00ED44C1"/>
    <w:rsid w:val="00EF1447"/>
    <w:rsid w:val="00EF41F8"/>
    <w:rsid w:val="00F07027"/>
    <w:rsid w:val="00F23E8E"/>
    <w:rsid w:val="00F36255"/>
    <w:rsid w:val="00F6368A"/>
    <w:rsid w:val="00F664EA"/>
    <w:rsid w:val="00F8282F"/>
    <w:rsid w:val="00F97F1B"/>
    <w:rsid w:val="00FB2035"/>
    <w:rsid w:val="00FD0960"/>
    <w:rsid w:val="00FD6634"/>
    <w:rsid w:val="00FE1309"/>
    <w:rsid w:val="00FE33F1"/>
    <w:rsid w:val="00FF4D52"/>
  </w:rsids>
  <w:themeFontLang w:val="en-GB"/>
  <w:clrSchemeMapping w:accent1="accent1" w:accent2="accent2" w:accent3="accent3" w:accent4="accent4" w:accent5="accent5" w:accent6="accent6" w:bg1="light1" w:bg2="light2" w:followedHyperlink="followedHyperlink" w:hyperlink="hyperlink" w:t1="dark1" w:t2="dark2"/>
  <w:doNotAutoCompressPictures/>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1"/>
        <w:szCs w:val="21"/>
        <w:lang w:bidi="ar-SA" w:eastAsia="en-US" w:val="en-GB"/>
      </w:rPr>
    </w:rPrDefault>
    <w:pPrDefault>
      <w:pPr>
        <w:spacing w:after="200" w:line="288"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toc 1" w:qFormat="1" w:semiHidden="1" w:uiPriority="39" w:unhideWhenUsed="1"/>
    <w:lsdException w:name="toc 2" w:semiHidden="1" w:uiPriority="39" w:unhideWhenUsed="1"/>
    <w:lsdException w:name="toc 3" w:semiHidden="1" w:uiPriority="39" w:unhideWhenUsed="1"/>
    <w:lsdException w:name="toc 4" w:semiHidden="1" w:uiPriority="39" w:unhideWhenUsed="1"/>
    <w:lsdException w:name="toc 5" w:uiPriority="39"/>
    <w:lsdException w:name="toc 6" w:uiPriority="39"/>
    <w:lsdException w:name="toc 7" w:uiPriority="39"/>
    <w:lsdException w:name="toc 8" w:uiPriority="39"/>
    <w:lsdException w:name="toc 9" w:uiPriority="39"/>
    <w:lsdException w:name="footnote text" w:qFormat="1" w:semiHidden="1" w:unhideWhenUsed="1"/>
    <w:lsdException w:name="annotation text" w:semiHidden="1" w:unhideWhenUsed="1"/>
    <w:lsdException w:name="header" w:semiHidden="1" w:unhideWhenUsed="1"/>
    <w:lsdException w:name="footer" w:semiHidden="1" w:unhideWhenUsed="1"/>
    <w:lsdException w:name="caption" w:qFormat="1" w:semiHidden="1" w:uiPriority="35" w:unhideWhenUsed="1"/>
    <w:lsdException w:name="footnote reference" w:semiHidden="1" w:unhideWhenUsed="1"/>
    <w:lsdException w:name="annotation reference" w:semiHidden="1" w:unhideWhenUsed="1"/>
    <w:lsdException w:name="Title" w:qFormat="1" w:uiPriority="10"/>
    <w:lsdException w:name="Default Paragraph Font" w:semiHidden="1" w:uiPriority="1" w:unhideWhenUsed="1"/>
    <w:lsdException w:name="Subtitle" w:semiHidden="1" w:uiPriority="11" w:unhideWhenUsed="1"/>
    <w:lsdException w:name="Hyperlink" w:qFormat="1" w:semiHidden="1" w:unhideWhenUsed="1"/>
    <w:lsdException w:name="Strong" w:qFormat="1" w:uiPriority="22"/>
    <w:lsdException w:name="Emphasis" w:uiPriority="20"/>
    <w:lsdException w:name="HTML Top of Form" w:semiHidden="1" w:unhideWhenUsed="1"/>
    <w:lsdException w:name="HTML Bottom of Form" w:semiHidden="1" w:unhideWhenUsed="1"/>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lsdException w:name="Intense Emphasis" w:qFormat="1" w:uiPriority="21"/>
    <w:lsdException w:name="Subtle Reference" w:uiPriority="31"/>
    <w:lsdException w:name="Intense Reference" w:uiPriority="32"/>
    <w:lsdException w:name="Book Title" w:uiPriority="33"/>
    <w:lsdException w:name="Bibliography" w:uiPriority="37"/>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aliases w:val="Normal paragraph – EDPB"/>
    <w:uiPriority w:val="3"/>
    <w:qFormat/>
    <w:rsid w:val="008E6321"/>
    <w:pPr>
      <w:spacing w:after="120" w:before="120" w:line="259" w:lineRule="auto"/>
      <w:jc w:val="both"/>
    </w:pPr>
    <w:rPr>
      <w:rFonts w:ascii="Glory" w:cs="Calibri" w:eastAsia="Times New Roman" w:hAnsi="Glory"/>
      <w:color w:themeColor="text1" w:val="000000"/>
      <w:sz w:val="22"/>
      <w:szCs w:val="24"/>
    </w:rPr>
  </w:style>
  <w:style w:styleId="Heading1" w:type="paragraph">
    <w:name w:val="heading 1"/>
    <w:aliases w:val="EDPB H1,EDPB heading 1"/>
    <w:next w:val="Normal"/>
    <w:link w:val="Heading1Char"/>
    <w:autoRedefine/>
    <w:uiPriority w:val="9"/>
    <w:qFormat/>
    <w:rsid w:val="00002024"/>
    <w:pPr>
      <w:numPr>
        <w:numId w:val="7"/>
      </w:numPr>
      <w:spacing w:before="360"/>
      <w:outlineLvl w:val="0"/>
    </w:pPr>
    <w:rPr>
      <w:rFonts w:asciiTheme="majorHAnsi" w:cstheme="majorBidi" w:eastAsiaTheme="majorEastAsia" w:hAnsiTheme="majorHAnsi"/>
      <w:b/>
      <w:color w:themeColor="accent1" w:val="0A105D"/>
      <w:spacing w:val="10"/>
      <w:sz w:val="32"/>
      <w:szCs w:val="64"/>
    </w:rPr>
  </w:style>
  <w:style w:styleId="Heading2" w:type="paragraph">
    <w:name w:val="heading 2"/>
    <w:aliases w:val="EDPB H2,EDPB Heading 2"/>
    <w:next w:val="Normal"/>
    <w:link w:val="Heading2Char"/>
    <w:autoRedefine/>
    <w:uiPriority w:val="9"/>
    <w:qFormat/>
    <w:rsid w:val="00002024"/>
    <w:pPr>
      <w:numPr>
        <w:ilvl w:val="1"/>
        <w:numId w:val="0"/>
      </w:numPr>
      <w:spacing w:before="200"/>
      <w:outlineLvl w:val="1"/>
    </w:pPr>
    <w:rPr>
      <w:rFonts w:asciiTheme="majorHAnsi" w:cstheme="majorBidi" w:eastAsiaTheme="majorEastAsia" w:hAnsiTheme="majorHAnsi"/>
      <w:b/>
      <w:color w:themeColor="accent1" w:val="0A105D"/>
      <w:spacing w:val="10"/>
      <w:sz w:val="28"/>
      <w:szCs w:val="64"/>
    </w:rPr>
  </w:style>
  <w:style w:styleId="Heading3" w:type="paragraph">
    <w:name w:val="heading 3"/>
    <w:aliases w:val="EDPB H3,EDPB Heading 3"/>
    <w:next w:val="Normal"/>
    <w:link w:val="Heading3Char"/>
    <w:uiPriority w:val="9"/>
    <w:qFormat/>
    <w:rsid w:val="00002024"/>
    <w:pPr>
      <w:numPr>
        <w:ilvl w:val="2"/>
        <w:numId w:val="0"/>
      </w:numPr>
      <w:outlineLvl w:val="2"/>
    </w:pPr>
    <w:rPr>
      <w:rFonts w:asciiTheme="majorHAnsi" w:cstheme="majorBidi" w:eastAsiaTheme="majorEastAsia" w:hAnsiTheme="majorHAnsi"/>
      <w:b/>
      <w:color w:themeColor="accent1" w:val="0A105D"/>
      <w:spacing w:val="10"/>
      <w:sz w:val="24"/>
      <w:szCs w:val="64"/>
    </w:rPr>
  </w:style>
  <w:style w:styleId="Heading4" w:type="paragraph">
    <w:name w:val="heading 4"/>
    <w:aliases w:val="EDPB H4,EDPB Heading 4"/>
    <w:next w:val="Normal"/>
    <w:link w:val="Heading4Char"/>
    <w:autoRedefine/>
    <w:uiPriority w:val="9"/>
    <w:qFormat/>
    <w:rsid w:val="00002024"/>
    <w:pPr>
      <w:spacing w:before="120"/>
      <w:outlineLvl w:val="3"/>
    </w:pPr>
    <w:rPr>
      <w:rFonts w:asciiTheme="majorHAnsi" w:cstheme="majorBidi" w:eastAsiaTheme="majorEastAsia" w:hAnsiTheme="majorHAnsi"/>
      <w:b/>
      <w:color w:themeColor="accent2" w:val="08149C"/>
      <w:spacing w:val="10"/>
      <w:sz w:val="22"/>
      <w:szCs w:val="64"/>
    </w:rPr>
  </w:style>
  <w:style w:styleId="Heading5" w:type="paragraph">
    <w:name w:val="heading 5"/>
    <w:aliases w:val="EDPB H5"/>
    <w:next w:val="Normal"/>
    <w:link w:val="Heading5Char"/>
    <w:autoRedefine/>
    <w:uiPriority w:val="9"/>
    <w:qFormat/>
    <w:rsid w:val="00002024"/>
    <w:pPr>
      <w:spacing w:before="120"/>
      <w:outlineLvl w:val="4"/>
    </w:pPr>
    <w:rPr>
      <w:rFonts w:asciiTheme="majorHAnsi" w:cstheme="majorBidi" w:eastAsiaTheme="majorEastAsia" w:hAnsiTheme="majorHAnsi"/>
      <w:b/>
      <w:spacing w:val="10"/>
      <w:sz w:val="22"/>
      <w:szCs w:val="64"/>
    </w:rPr>
  </w:style>
  <w:style w:styleId="Heading6" w:type="paragraph">
    <w:name w:val="heading 6"/>
    <w:basedOn w:val="Normal"/>
    <w:next w:val="Normal"/>
    <w:link w:val="Heading6Char"/>
    <w:uiPriority w:val="9"/>
    <w:unhideWhenUsed/>
    <w:qFormat/>
    <w:rsid w:val="00824179"/>
    <w:pPr>
      <w:keepNext/>
      <w:numPr>
        <w:ilvl w:val="5"/>
        <w:numId w:val="7"/>
      </w:numPr>
      <w:spacing w:after="0" w:before="40"/>
      <w:outlineLvl w:val="5"/>
    </w:pPr>
    <w:rPr>
      <w:rFonts w:asciiTheme="majorHAnsi" w:cstheme="majorBidi" w:eastAsiaTheme="majorEastAsia" w:hAnsiTheme="majorHAnsi"/>
      <w:color w:themeColor="accent6" w:val="0A105D"/>
      <w:sz w:val="21"/>
      <w:szCs w:val="21"/>
    </w:rPr>
  </w:style>
  <w:style w:styleId="Heading7" w:type="paragraph">
    <w:name w:val="heading 7"/>
    <w:basedOn w:val="Normal"/>
    <w:next w:val="Normal"/>
    <w:link w:val="Heading7Char"/>
    <w:uiPriority w:val="9"/>
    <w:unhideWhenUsed/>
    <w:qFormat/>
    <w:rsid w:val="00824179"/>
    <w:pPr>
      <w:keepNext/>
      <w:numPr>
        <w:ilvl w:val="6"/>
        <w:numId w:val="7"/>
      </w:numPr>
      <w:spacing w:after="0" w:before="40"/>
      <w:outlineLvl w:val="6"/>
    </w:pPr>
    <w:rPr>
      <w:rFonts w:asciiTheme="majorHAnsi" w:cstheme="majorBidi" w:eastAsiaTheme="majorEastAsia" w:hAnsiTheme="majorHAnsi"/>
      <w:b/>
      <w:bCs/>
      <w:color w:themeColor="accent6" w:val="0A105D"/>
      <w:sz w:val="21"/>
      <w:szCs w:val="21"/>
    </w:rPr>
  </w:style>
  <w:style w:styleId="Heading8" w:type="paragraph">
    <w:name w:val="heading 8"/>
    <w:basedOn w:val="Normal"/>
    <w:next w:val="Normal"/>
    <w:link w:val="Heading8Char"/>
    <w:uiPriority w:val="9"/>
    <w:unhideWhenUsed/>
    <w:qFormat/>
    <w:rsid w:val="00824179"/>
    <w:pPr>
      <w:keepNext/>
      <w:numPr>
        <w:ilvl w:val="7"/>
        <w:numId w:val="7"/>
      </w:numPr>
      <w:spacing w:after="0" w:before="40"/>
      <w:outlineLvl w:val="7"/>
    </w:pPr>
    <w:rPr>
      <w:rFonts w:asciiTheme="majorHAnsi" w:cstheme="majorBidi" w:eastAsiaTheme="majorEastAsia" w:hAnsiTheme="majorHAnsi"/>
      <w:b/>
      <w:bCs/>
      <w:i/>
      <w:iCs/>
      <w:color w:themeColor="accent6" w:val="0A105D"/>
      <w:sz w:val="20"/>
      <w:szCs w:val="20"/>
    </w:rPr>
  </w:style>
  <w:style w:styleId="Heading9" w:type="paragraph">
    <w:name w:val="heading 9"/>
    <w:basedOn w:val="Normal"/>
    <w:next w:val="Normal"/>
    <w:link w:val="Heading9Char"/>
    <w:uiPriority w:val="9"/>
    <w:unhideWhenUsed/>
    <w:qFormat/>
    <w:rsid w:val="00824179"/>
    <w:pPr>
      <w:keepNext/>
      <w:numPr>
        <w:ilvl w:val="8"/>
        <w:numId w:val="7"/>
      </w:numPr>
      <w:spacing w:after="0" w:before="40"/>
      <w:outlineLvl w:val="8"/>
    </w:pPr>
    <w:rPr>
      <w:rFonts w:asciiTheme="majorHAnsi" w:cstheme="majorBidi" w:eastAsiaTheme="majorEastAsia" w:hAnsiTheme="majorHAnsi"/>
      <w:i/>
      <w:iCs/>
      <w:color w:themeColor="accent6" w:val="0A105D"/>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1Char" w:type="character">
    <w:name w:val="Heading 1 Char"/>
    <w:aliases w:val="EDPB H1 Char,EDPB heading 1 Char"/>
    <w:basedOn w:val="DefaultParagraphFont"/>
    <w:link w:val="Heading1"/>
    <w:uiPriority w:val="9"/>
    <w:rsid w:val="00002024"/>
    <w:rPr>
      <w:rFonts w:asciiTheme="majorHAnsi" w:cstheme="majorBidi" w:eastAsiaTheme="majorEastAsia" w:hAnsiTheme="majorHAnsi"/>
      <w:b/>
      <w:color w:themeColor="accent1" w:val="0A105D"/>
      <w:spacing w:val="10"/>
      <w:sz w:val="32"/>
      <w:szCs w:val="64"/>
    </w:rPr>
  </w:style>
  <w:style w:customStyle="1" w:styleId="Heading2Char" w:type="character">
    <w:name w:val="Heading 2 Char"/>
    <w:aliases w:val="EDPB H2 Char,EDPB Heading 2 Char"/>
    <w:basedOn w:val="DefaultParagraphFont"/>
    <w:link w:val="Heading2"/>
    <w:uiPriority w:val="9"/>
    <w:rsid w:val="00002024"/>
    <w:rPr>
      <w:rFonts w:asciiTheme="majorHAnsi" w:cstheme="majorBidi" w:eastAsiaTheme="majorEastAsia" w:hAnsiTheme="majorHAnsi"/>
      <w:b/>
      <w:color w:themeColor="accent1" w:val="0A105D"/>
      <w:spacing w:val="10"/>
      <w:sz w:val="28"/>
      <w:szCs w:val="64"/>
    </w:rPr>
  </w:style>
  <w:style w:customStyle="1" w:styleId="Heading3Char" w:type="character">
    <w:name w:val="Heading 3 Char"/>
    <w:aliases w:val="EDPB H3 Char,EDPB Heading 3 Char"/>
    <w:basedOn w:val="DefaultParagraphFont"/>
    <w:link w:val="Heading3"/>
    <w:uiPriority w:val="9"/>
    <w:rsid w:val="00002024"/>
    <w:rPr>
      <w:rFonts w:asciiTheme="majorHAnsi" w:cstheme="majorBidi" w:eastAsiaTheme="majorEastAsia" w:hAnsiTheme="majorHAnsi"/>
      <w:b/>
      <w:color w:themeColor="accent1" w:val="0A105D"/>
      <w:spacing w:val="10"/>
      <w:sz w:val="24"/>
      <w:szCs w:val="64"/>
    </w:rPr>
  </w:style>
  <w:style w:customStyle="1" w:styleId="Heading4Char" w:type="character">
    <w:name w:val="Heading 4 Char"/>
    <w:aliases w:val="EDPB H4 Char,EDPB Heading 4 Char"/>
    <w:basedOn w:val="DefaultParagraphFont"/>
    <w:link w:val="Heading4"/>
    <w:uiPriority w:val="9"/>
    <w:rsid w:val="00002024"/>
    <w:rPr>
      <w:rFonts w:asciiTheme="majorHAnsi" w:cstheme="majorBidi" w:eastAsiaTheme="majorEastAsia" w:hAnsiTheme="majorHAnsi"/>
      <w:b/>
      <w:color w:themeColor="accent2" w:val="08149C"/>
      <w:spacing w:val="10"/>
      <w:sz w:val="22"/>
      <w:szCs w:val="64"/>
    </w:rPr>
  </w:style>
  <w:style w:customStyle="1" w:styleId="Heading5Char" w:type="character">
    <w:name w:val="Heading 5 Char"/>
    <w:aliases w:val="EDPB H5 Char"/>
    <w:basedOn w:val="DefaultParagraphFont"/>
    <w:link w:val="Heading5"/>
    <w:uiPriority w:val="9"/>
    <w:rsid w:val="00002024"/>
    <w:rPr>
      <w:rFonts w:asciiTheme="majorHAnsi" w:cstheme="majorBidi" w:eastAsiaTheme="majorEastAsia" w:hAnsiTheme="majorHAnsi"/>
      <w:b/>
      <w:spacing w:val="10"/>
      <w:sz w:val="22"/>
      <w:szCs w:val="64"/>
    </w:rPr>
  </w:style>
  <w:style w:customStyle="1" w:styleId="Heading6Char" w:type="character">
    <w:name w:val="Heading 6 Char"/>
    <w:basedOn w:val="DefaultParagraphFont"/>
    <w:link w:val="Heading6"/>
    <w:uiPriority w:val="9"/>
    <w:rsid w:val="007B75F9"/>
    <w:rPr>
      <w:rFonts w:asciiTheme="majorHAnsi" w:cstheme="majorBidi" w:eastAsiaTheme="majorEastAsia" w:hAnsiTheme="majorHAnsi"/>
      <w:color w:themeColor="accent6" w:val="0A105D"/>
    </w:rPr>
  </w:style>
  <w:style w:customStyle="1" w:styleId="Heading7Char" w:type="character">
    <w:name w:val="Heading 7 Char"/>
    <w:basedOn w:val="DefaultParagraphFont"/>
    <w:link w:val="Heading7"/>
    <w:uiPriority w:val="9"/>
    <w:rsid w:val="007B75F9"/>
    <w:rPr>
      <w:rFonts w:asciiTheme="majorHAnsi" w:cstheme="majorBidi" w:eastAsiaTheme="majorEastAsia" w:hAnsiTheme="majorHAnsi"/>
      <w:b/>
      <w:bCs/>
      <w:color w:themeColor="accent6" w:val="0A105D"/>
    </w:rPr>
  </w:style>
  <w:style w:customStyle="1" w:styleId="Heading8Char" w:type="character">
    <w:name w:val="Heading 8 Char"/>
    <w:basedOn w:val="DefaultParagraphFont"/>
    <w:link w:val="Heading8"/>
    <w:uiPriority w:val="9"/>
    <w:rsid w:val="007B75F9"/>
    <w:rPr>
      <w:rFonts w:asciiTheme="majorHAnsi" w:cstheme="majorBidi" w:eastAsiaTheme="majorEastAsia" w:hAnsiTheme="majorHAnsi"/>
      <w:b/>
      <w:bCs/>
      <w:i/>
      <w:iCs/>
      <w:color w:themeColor="accent6" w:val="0A105D"/>
      <w:sz w:val="20"/>
      <w:szCs w:val="20"/>
    </w:rPr>
  </w:style>
  <w:style w:customStyle="1" w:styleId="Heading9Char" w:type="character">
    <w:name w:val="Heading 9 Char"/>
    <w:basedOn w:val="DefaultParagraphFont"/>
    <w:link w:val="Heading9"/>
    <w:uiPriority w:val="9"/>
    <w:rsid w:val="007B75F9"/>
    <w:rPr>
      <w:rFonts w:asciiTheme="majorHAnsi" w:cstheme="majorBidi" w:eastAsiaTheme="majorEastAsia" w:hAnsiTheme="majorHAnsi"/>
      <w:i/>
      <w:iCs/>
      <w:color w:themeColor="accent6" w:val="0A105D"/>
      <w:sz w:val="20"/>
      <w:szCs w:val="20"/>
    </w:rPr>
  </w:style>
  <w:style w:styleId="Title" w:type="paragraph">
    <w:name w:val="Title"/>
    <w:aliases w:val="Title EDPB doc"/>
    <w:basedOn w:val="Normal"/>
    <w:next w:val="Normal"/>
    <w:link w:val="TitleChar"/>
    <w:autoRedefine/>
    <w:uiPriority w:val="10"/>
    <w:qFormat/>
    <w:rsid w:val="00557DA5"/>
    <w:pPr>
      <w:spacing w:after="840" w:before="720" w:line="240" w:lineRule="auto"/>
      <w:ind w:left="227" w:right="227"/>
      <w:contextualSpacing/>
      <w:jc w:val="center"/>
      <w:outlineLvl w:val="0"/>
    </w:pPr>
    <w:rPr>
      <w:rFonts w:asciiTheme="majorHAnsi" w:cstheme="majorBidi" w:eastAsiaTheme="majorEastAsia" w:hAnsiTheme="majorHAnsi"/>
      <w:b/>
      <w:color w:val="002060"/>
      <w:spacing w:val="6"/>
      <w:sz w:val="40"/>
      <w:szCs w:val="64"/>
    </w:rPr>
  </w:style>
  <w:style w:customStyle="1" w:styleId="TitleChar" w:type="character">
    <w:name w:val="Title Char"/>
    <w:aliases w:val="Title EDPB doc Char"/>
    <w:basedOn w:val="DefaultParagraphFont"/>
    <w:link w:val="Title"/>
    <w:uiPriority w:val="10"/>
    <w:rsid w:val="00557DA5"/>
    <w:rPr>
      <w:rFonts w:asciiTheme="majorHAnsi" w:cstheme="majorBidi" w:eastAsiaTheme="majorEastAsia" w:hAnsiTheme="majorHAnsi"/>
      <w:b/>
      <w:color w:val="002060"/>
      <w:spacing w:val="6"/>
      <w:sz w:val="40"/>
      <w:szCs w:val="64"/>
    </w:rPr>
  </w:style>
  <w:style w:customStyle="1" w:styleId="Subtitle-EDPB" w:type="paragraph">
    <w:name w:val="Subtitle - EDPB"/>
    <w:next w:val="Normal"/>
    <w:autoRedefine/>
    <w:uiPriority w:val="1"/>
    <w:qFormat/>
    <w:rsid w:val="00557DA5"/>
    <w:rPr>
      <w:rFonts w:asciiTheme="majorHAnsi" w:cstheme="majorBidi" w:eastAsiaTheme="majorEastAsia" w:hAnsiTheme="majorHAnsi"/>
      <w:b/>
      <w:color w:val="002060"/>
      <w:spacing w:val="10"/>
      <w:sz w:val="32"/>
      <w:szCs w:val="64"/>
    </w:rPr>
  </w:style>
  <w:style w:customStyle="1" w:styleId="Subtitle2-EDPB" w:type="paragraph">
    <w:name w:val="Subtitle 2-EDPB"/>
    <w:next w:val="Normal"/>
    <w:autoRedefine/>
    <w:uiPriority w:val="1"/>
    <w:rsid w:val="000E559D"/>
    <w:rPr>
      <w:rFonts w:cs="Calibri" w:eastAsia="Times New Roman"/>
      <w:b/>
      <w:color w:themeColor="accent3" w:val="0A105D"/>
      <w:spacing w:val="8"/>
      <w:sz w:val="32"/>
      <w:szCs w:val="24"/>
    </w:rPr>
  </w:style>
  <w:style w:styleId="Strong" w:type="character">
    <w:name w:val="Strong"/>
    <w:aliases w:val="Strong - EDPB"/>
    <w:basedOn w:val="DefaultParagraphFont"/>
    <w:uiPriority w:val="22"/>
    <w:qFormat/>
    <w:rsid w:val="002A6295"/>
    <w:rPr>
      <w:rFonts w:ascii="Glory" w:hAnsi="Glory"/>
      <w:b/>
      <w:bCs/>
      <w:color w:themeColor="text1" w:val="000000"/>
      <w:sz w:val="22"/>
      <w:szCs w:val="22"/>
    </w:rPr>
  </w:style>
  <w:style w:styleId="Emphasis" w:type="character">
    <w:name w:val="Emphasis"/>
    <w:basedOn w:val="DefaultParagraphFont"/>
    <w:uiPriority w:val="2"/>
    <w:semiHidden/>
    <w:rsid w:val="00595B77"/>
    <w:rPr>
      <w:i/>
      <w:iCs/>
      <w:color w:themeColor="accent6" w:val="0A105D"/>
    </w:rPr>
  </w:style>
  <w:style w:styleId="NoSpacing" w:type="paragraph">
    <w:name w:val="No Spacing"/>
    <w:link w:val="NoSpacingChar"/>
    <w:uiPriority w:val="1"/>
    <w:unhideWhenUsed/>
    <w:qFormat/>
    <w:rsid w:val="00824179"/>
    <w:pPr>
      <w:spacing w:after="0" w:line="240" w:lineRule="auto"/>
    </w:pPr>
  </w:style>
  <w:style w:styleId="ListParagraph" w:type="paragraph">
    <w:name w:val="List Paragraph"/>
    <w:basedOn w:val="Normal"/>
    <w:uiPriority w:val="34"/>
    <w:qFormat/>
    <w:rsid w:val="00824179"/>
    <w:pPr>
      <w:ind w:left="720"/>
      <w:contextualSpacing/>
    </w:pPr>
  </w:style>
  <w:style w:styleId="Quote" w:type="paragraph">
    <w:name w:val="Quote"/>
    <w:basedOn w:val="Normal"/>
    <w:next w:val="Normal"/>
    <w:link w:val="QuoteChar"/>
    <w:uiPriority w:val="29"/>
    <w:rsid w:val="00824179"/>
    <w:pPr>
      <w:spacing w:before="160"/>
      <w:ind w:left="720" w:right="720"/>
      <w:jc w:val="center"/>
    </w:pPr>
    <w:rPr>
      <w:rFonts w:cstheme="minorBidi" w:eastAsiaTheme="minorEastAsia"/>
      <w:i/>
      <w:iCs/>
      <w:color w:themeColor="text1" w:themeTint="D9" w:val="262626"/>
      <w:sz w:val="21"/>
      <w:szCs w:val="21"/>
    </w:rPr>
  </w:style>
  <w:style w:customStyle="1" w:styleId="QuoteChar" w:type="character">
    <w:name w:val="Quote Char"/>
    <w:basedOn w:val="DefaultParagraphFont"/>
    <w:link w:val="Quote"/>
    <w:uiPriority w:val="29"/>
    <w:rsid w:val="00FE33F1"/>
    <w:rPr>
      <w:i/>
      <w:iCs/>
      <w:color w:themeColor="text1" w:themeTint="D9" w:val="262626"/>
    </w:rPr>
  </w:style>
  <w:style w:styleId="IntenseQuote" w:type="paragraph">
    <w:name w:val="Intense Quote"/>
    <w:basedOn w:val="Normal"/>
    <w:next w:val="Normal"/>
    <w:link w:val="IntenseQuoteChar"/>
    <w:uiPriority w:val="30"/>
    <w:rsid w:val="00824179"/>
    <w:pPr>
      <w:spacing w:before="160" w:line="264" w:lineRule="auto"/>
      <w:ind w:left="720" w:right="720"/>
      <w:jc w:val="center"/>
    </w:pPr>
    <w:rPr>
      <w:rFonts w:asciiTheme="majorHAnsi" w:cstheme="majorBidi" w:eastAsiaTheme="majorEastAsia" w:hAnsiTheme="majorHAnsi"/>
      <w:i/>
      <w:iCs/>
      <w:color w:themeColor="accent6" w:val="0A105D"/>
      <w:sz w:val="32"/>
      <w:szCs w:val="32"/>
    </w:rPr>
  </w:style>
  <w:style w:customStyle="1" w:styleId="IntenseQuoteChar" w:type="character">
    <w:name w:val="Intense Quote Char"/>
    <w:basedOn w:val="DefaultParagraphFont"/>
    <w:link w:val="IntenseQuote"/>
    <w:uiPriority w:val="30"/>
    <w:rsid w:val="00FE33F1"/>
    <w:rPr>
      <w:rFonts w:asciiTheme="majorHAnsi" w:cstheme="majorBidi" w:eastAsiaTheme="majorEastAsia" w:hAnsiTheme="majorHAnsi"/>
      <w:i/>
      <w:iCs/>
      <w:color w:themeColor="accent6" w:val="0A105D"/>
      <w:sz w:val="32"/>
      <w:szCs w:val="32"/>
    </w:rPr>
  </w:style>
  <w:style w:customStyle="1" w:styleId="Table2-EDPB" w:type="table">
    <w:name w:val="Table 2 - EDPB"/>
    <w:basedOn w:val="TableNormal"/>
    <w:uiPriority w:val="99"/>
    <w:rsid w:val="00E80001"/>
    <w:pPr>
      <w:spacing w:after="0" w:line="240" w:lineRule="auto"/>
    </w:pPr>
    <w:rPr>
      <w:sz w:val="20"/>
    </w:rPr>
    <w:tblPr>
      <w:tblBorders>
        <w:top w:color="0A105D" w:space="0" w:sz="4" w:themeColor="accent3" w:val="single"/>
        <w:left w:color="0A105D" w:space="0" w:sz="4" w:themeColor="accent3" w:val="single"/>
        <w:bottom w:color="0A105D" w:space="0" w:sz="4" w:themeColor="accent3" w:val="single"/>
        <w:right w:color="0A105D" w:space="0" w:sz="4" w:themeColor="accent3" w:val="single"/>
        <w:insideH w:color="0A105D" w:space="0" w:sz="4" w:themeColor="accent3" w:val="single"/>
        <w:insideV w:color="0A105D" w:space="0" w:sz="4" w:themeColor="accent3" w:val="single"/>
      </w:tblBorders>
    </w:tblPr>
    <w:tcPr>
      <w:shd w:color="auto" w:fill="auto" w:val="clear"/>
    </w:tcPr>
    <w:tblStylePr w:type="firstRow">
      <w:rPr>
        <w:b/>
        <w:sz w:val="22"/>
      </w:rPr>
      <w:tblPr/>
      <w:tcPr>
        <w:tcBorders>
          <w:top w:color="0A105D" w:space="0" w:sz="4" w:themeColor="accent3" w:val="single"/>
          <w:left w:color="0A105D" w:space="0" w:sz="4" w:themeColor="accent3" w:val="single"/>
          <w:bottom w:color="0A105D" w:space="0" w:sz="4" w:themeColor="accent3" w:val="single"/>
          <w:right w:color="0A105D" w:space="0" w:sz="4" w:themeColor="accent3" w:val="single"/>
          <w:insideH w:color="0A105D" w:space="0" w:sz="4" w:themeColor="accent3" w:val="single"/>
          <w:insideV w:color="0A105D" w:space="0" w:sz="4" w:themeColor="accent3" w:val="single"/>
        </w:tcBorders>
        <w:shd w:color="auto" w:fill="auto" w:val="clear"/>
      </w:tcPr>
    </w:tblStylePr>
  </w:style>
  <w:style w:styleId="IntenseEmphasis" w:type="character">
    <w:name w:val="Intense Emphasis"/>
    <w:aliases w:val="Instruction - EDPB"/>
    <w:basedOn w:val="DefaultParagraphFont"/>
    <w:uiPriority w:val="5"/>
    <w:qFormat/>
    <w:rsid w:val="00E67185"/>
    <w:rPr>
      <w:rFonts w:ascii="Glory" w:hAnsi="Glory"/>
      <w:bCs/>
      <w:iCs/>
      <w:color w:val="CC3300"/>
      <w:sz w:val="18"/>
    </w:rPr>
  </w:style>
  <w:style w:styleId="SubtleReference" w:type="character">
    <w:name w:val="Subtle Reference"/>
    <w:basedOn w:val="DefaultParagraphFont"/>
    <w:uiPriority w:val="31"/>
    <w:rsid w:val="00824179"/>
    <w:rPr>
      <w:smallCaps/>
      <w:color w:themeColor="text1" w:themeTint="A6" w:val="595959"/>
    </w:rPr>
  </w:style>
  <w:style w:styleId="IntenseReference" w:type="character">
    <w:name w:val="Intense Reference"/>
    <w:basedOn w:val="DefaultParagraphFont"/>
    <w:uiPriority w:val="32"/>
    <w:rsid w:val="00824179"/>
    <w:rPr>
      <w:b/>
      <w:bCs/>
      <w:smallCaps/>
      <w:color w:themeColor="accent6" w:val="0A105D"/>
    </w:rPr>
  </w:style>
  <w:style w:styleId="TOCHeading" w:type="paragraph">
    <w:name w:val="TOC Heading"/>
    <w:basedOn w:val="Heading1"/>
    <w:next w:val="Normal"/>
    <w:uiPriority w:val="39"/>
    <w:qFormat/>
    <w:rsid w:val="00595B77"/>
    <w:pPr>
      <w:outlineLvl w:val="9"/>
    </w:pPr>
  </w:style>
  <w:style w:styleId="ListTable1Light-Accent4" w:type="table">
    <w:name w:val="List Table 1 Light Accent 4"/>
    <w:basedOn w:val="TableNormal"/>
    <w:uiPriority w:val="46"/>
    <w:rsid w:val="0047378B"/>
    <w:pPr>
      <w:spacing w:after="0" w:line="240" w:lineRule="auto"/>
    </w:pPr>
    <w:tblPr>
      <w:tblStyleRowBandSize w:val="1"/>
      <w:tblStyleColBandSize w:val="1"/>
    </w:tblPr>
    <w:tblStylePr w:type="firstRow">
      <w:rPr>
        <w:b/>
        <w:bCs/>
      </w:rPr>
      <w:tblPr/>
      <w:tcPr>
        <w:tcBorders>
          <w:bottom w:color="9EDAFA" w:space="0" w:sz="4" w:themeColor="accent4" w:themeTint="99" w:val="single"/>
        </w:tcBorders>
      </w:tcPr>
    </w:tblStylePr>
    <w:tblStylePr w:type="lastRow">
      <w:rPr>
        <w:b/>
        <w:bCs/>
      </w:rPr>
      <w:tblPr/>
      <w:tcPr>
        <w:tcBorders>
          <w:top w:color="9EDAFA" w:space="0" w:sz="4" w:themeColor="accent4" w:themeTint="99" w:val="single"/>
        </w:tcBorders>
      </w:tcPr>
    </w:tblStylePr>
    <w:tblStylePr w:type="firstCol">
      <w:rPr>
        <w:b/>
        <w:bCs/>
      </w:rPr>
    </w:tblStylePr>
    <w:tblStylePr w:type="lastCol">
      <w:rPr>
        <w:b/>
        <w:bCs/>
      </w:rPr>
    </w:tblStylePr>
    <w:tblStylePr w:type="band1Vert">
      <w:tblPr/>
      <w:tcPr>
        <w:shd w:color="auto" w:fill="DEF2FD" w:themeFill="accent4" w:themeFillTint="33" w:val="clear"/>
      </w:tcPr>
    </w:tblStylePr>
    <w:tblStylePr w:type="band1Horz">
      <w:tblPr/>
      <w:tcPr>
        <w:shd w:color="auto" w:fill="DEF2FD" w:themeFill="accent4" w:themeFillTint="33" w:val="clear"/>
      </w:tcPr>
    </w:tblStylePr>
  </w:style>
  <w:style w:styleId="TableGrid" w:type="table">
    <w:name w:val="Table Grid"/>
    <w:aliases w:val="Table 1 - EDPB"/>
    <w:basedOn w:val="TableNormal"/>
    <w:uiPriority w:val="59"/>
    <w:rsid w:val="009A25EE"/>
    <w:rPr>
      <w:sz w:val="22"/>
    </w:rPr>
    <w:tblPr>
      <w:tblStyleRowBandSize w:val="1"/>
      <w:tblBorders>
        <w:right w:color="0A105D" w:space="0" w:sz="4" w:themeColor="accent1" w:val="single"/>
        <w:insideV w:color="0A105D" w:space="0" w:sz="4" w:themeColor="accent1" w:val="single"/>
      </w:tblBorders>
    </w:tblPr>
    <w:tcPr>
      <w:shd w:color="auto" w:fill="auto" w:val="clear"/>
    </w:tcPr>
    <w:tblStylePr w:type="firstRow">
      <w:rPr>
        <w:rFonts w:ascii="Glory" w:hAnsi="Glory"/>
        <w:b/>
        <w:sz w:val="22"/>
      </w:rPr>
      <w:tblPr/>
      <w:tcPr>
        <w:tcBorders>
          <w:top w:val="nil"/>
          <w:left w:val="nil"/>
          <w:bottom w:val="nil"/>
          <w:right w:val="nil"/>
          <w:insideH w:val="nil"/>
          <w:insideV w:color="000000" w:space="0" w:sz="4" w:themeColor="accent5" w:val="single"/>
          <w:tl2br w:val="nil"/>
          <w:tr2bl w:val="nil"/>
        </w:tcBorders>
        <w:shd w:color="auto" w:fill="auto" w:val="clear"/>
      </w:tcPr>
    </w:tblStylePr>
    <w:tblStylePr w:type="band1Horz">
      <w:rPr>
        <w:rFonts w:ascii="Glory" w:hAnsi="Glory"/>
        <w:sz w:val="22"/>
      </w:rPr>
      <w:tblPr/>
      <w:tcPr>
        <w:tcBorders>
          <w:top w:val="nil"/>
          <w:left w:val="nil"/>
          <w:bottom w:val="nil"/>
          <w:right w:val="nil"/>
          <w:insideH w:color="0A105D" w:space="0" w:sz="8" w:themeColor="accent1" w:val="single"/>
          <w:insideV w:color="0A105D" w:space="0" w:sz="8" w:themeColor="accent1" w:val="single"/>
          <w:tl2br w:val="nil"/>
          <w:tr2bl w:val="nil"/>
        </w:tcBorders>
        <w:shd w:color="auto" w:fill="E9ECEB" w:themeFill="background2" w:val="clear"/>
      </w:tcPr>
    </w:tblStylePr>
    <w:tblStylePr w:type="band2Horz">
      <w:tblPr/>
      <w:tcPr>
        <w:tcBorders>
          <w:top w:val="nil"/>
          <w:left w:val="nil"/>
          <w:bottom w:val="nil"/>
          <w:right w:val="nil"/>
          <w:insideH w:color="0A105D" w:space="0" w:sz="8" w:themeColor="accent6" w:val="single"/>
          <w:insideV w:color="0A105D" w:space="0" w:sz="8" w:themeColor="accent6" w:val="single"/>
        </w:tcBorders>
        <w:shd w:color="auto" w:fill="FFFFFF" w:themeFill="background1" w:val="clear"/>
      </w:tcPr>
    </w:tblStylePr>
  </w:style>
  <w:style w:styleId="Hyperlink" w:type="character">
    <w:name w:val="Hyperlink"/>
    <w:aliases w:val="Hyperlink-EDPB"/>
    <w:basedOn w:val="DefaultParagraphFont"/>
    <w:uiPriority w:val="99"/>
    <w:qFormat/>
    <w:rsid w:val="00081837"/>
    <w:rPr>
      <w:rFonts w:cs="Times New Roman"/>
      <w:color w:themeColor="hyperlink" w:val="08149C"/>
      <w:u w:val="single"/>
    </w:rPr>
  </w:style>
  <w:style w:styleId="FootnoteText" w:type="paragraph">
    <w:name w:val="footnote text"/>
    <w:aliases w:val="Footnote Text - EDPB"/>
    <w:basedOn w:val="Normal"/>
    <w:link w:val="FootnoteTextChar"/>
    <w:autoRedefine/>
    <w:uiPriority w:val="99"/>
    <w:qFormat/>
    <w:rsid w:val="00824179"/>
    <w:pPr>
      <w:spacing w:after="0" w:before="0"/>
      <w:jc w:val="left"/>
    </w:pPr>
    <w:rPr>
      <w:sz w:val="16"/>
      <w:szCs w:val="20"/>
    </w:rPr>
  </w:style>
  <w:style w:customStyle="1" w:styleId="FootnoteTextChar" w:type="character">
    <w:name w:val="Footnote Text Char"/>
    <w:aliases w:val="Footnote Text - EDPB Char"/>
    <w:basedOn w:val="DefaultParagraphFont"/>
    <w:link w:val="FootnoteText"/>
    <w:uiPriority w:val="99"/>
    <w:rsid w:val="00FE33F1"/>
    <w:rPr>
      <w:rFonts w:cs="Calibri" w:eastAsia="Times New Roman"/>
      <w:color w:themeColor="text1" w:val="000000"/>
      <w:sz w:val="16"/>
      <w:szCs w:val="20"/>
    </w:rPr>
  </w:style>
  <w:style w:styleId="FootnoteReference" w:type="character">
    <w:name w:val="footnote reference"/>
    <w:basedOn w:val="DefaultParagraphFont"/>
    <w:uiPriority w:val="99"/>
    <w:rsid w:val="00081837"/>
    <w:rPr>
      <w:rFonts w:cs="Times New Roman"/>
      <w:vertAlign w:val="superscript"/>
    </w:rPr>
  </w:style>
  <w:style w:customStyle="1" w:styleId="NumberedExampleinabox-EDPB" w:type="paragraph">
    <w:name w:val="Numbered Example in a box - EDPB"/>
    <w:basedOn w:val="Normal"/>
    <w:link w:val="NumberedExampleinabox-EDPBChar"/>
    <w:autoRedefine/>
    <w:uiPriority w:val="3"/>
    <w:qFormat/>
    <w:rsid w:val="00824179"/>
    <w:pPr>
      <w:numPr>
        <w:numId w:val="1"/>
      </w:numPr>
      <w:pBdr>
        <w:top w:color="0A105D" w:space="1" w:sz="12" w:themeColor="accent6" w:val="single"/>
        <w:bottom w:color="0A105D" w:space="1" w:sz="12" w:themeColor="accent6" w:val="single"/>
      </w:pBdr>
      <w:tabs>
        <w:tab w:pos="993" w:val="left"/>
        <w:tab w:pos="1701" w:val="left"/>
      </w:tabs>
      <w:ind w:hanging="1247" w:left="1672"/>
    </w:pPr>
    <w:rPr>
      <w:szCs w:val="22"/>
    </w:rPr>
  </w:style>
  <w:style w:customStyle="1" w:styleId="NumberedExampleinabox-EDPBChar" w:type="character">
    <w:name w:val="Numbered Example in a box - EDPB Char"/>
    <w:basedOn w:val="DefaultParagraphFont"/>
    <w:link w:val="NumberedExampleinabox-EDPB"/>
    <w:uiPriority w:val="3"/>
    <w:locked/>
    <w:rsid w:val="007B75F9"/>
    <w:rPr>
      <w:rFonts w:ascii="Glory" w:cs="Calibri" w:eastAsia="Times New Roman" w:hAnsi="Glory"/>
      <w:color w:themeColor="text1" w:val="000000"/>
      <w:sz w:val="22"/>
      <w:szCs w:val="22"/>
    </w:rPr>
  </w:style>
  <w:style w:styleId="TOC2" w:type="paragraph">
    <w:name w:val="toc 2"/>
    <w:basedOn w:val="Normal"/>
    <w:next w:val="Normal"/>
    <w:autoRedefine/>
    <w:uiPriority w:val="39"/>
    <w:rsid w:val="00BB6F65"/>
    <w:pPr>
      <w:tabs>
        <w:tab w:pos="880" w:val="left"/>
        <w:tab w:leader="dot" w:pos="9016" w:val="right"/>
      </w:tabs>
      <w:spacing w:after="100"/>
      <w:ind w:left="567"/>
    </w:pPr>
  </w:style>
  <w:style w:styleId="Caption" w:type="paragraph">
    <w:name w:val="caption"/>
    <w:aliases w:val="Caption images - EDPB"/>
    <w:basedOn w:val="Normal"/>
    <w:next w:val="Normal"/>
    <w:autoRedefine/>
    <w:uiPriority w:val="35"/>
    <w:qFormat/>
    <w:rsid w:val="00E80001"/>
    <w:pPr>
      <w:spacing w:before="0" w:line="240" w:lineRule="auto"/>
      <w:ind w:left="284"/>
      <w:jc w:val="left"/>
    </w:pPr>
    <w:rPr>
      <w:bCs/>
      <w:spacing w:val="4"/>
      <w:sz w:val="18"/>
    </w:rPr>
  </w:style>
  <w:style w:customStyle="1" w:styleId="Numberedparagraph-EDPB" w:type="paragraph">
    <w:name w:val="Numbered paragraph - EDPB"/>
    <w:basedOn w:val="NumberedParagraph"/>
    <w:link w:val="Numberedparagraph-EDPBChar"/>
    <w:uiPriority w:val="3"/>
    <w:qFormat/>
    <w:rsid w:val="00B3739D"/>
    <w:pPr>
      <w:numPr>
        <w:numId w:val="3"/>
      </w:numPr>
      <w:ind w:hanging="567" w:left="0"/>
    </w:pPr>
  </w:style>
  <w:style w:customStyle="1" w:styleId="NumberedParagraph" w:type="paragraph">
    <w:name w:val="Numbered Paragraph"/>
    <w:basedOn w:val="Normal"/>
    <w:autoRedefine/>
    <w:qFormat/>
    <w:rsid w:val="007A17E8"/>
    <w:pPr>
      <w:numPr>
        <w:numId w:val="2"/>
      </w:numPr>
    </w:pPr>
  </w:style>
  <w:style w:customStyle="1" w:styleId="Numberedparagraph-EDPBChar" w:type="character">
    <w:name w:val="Numbered paragraph - EDPB Char"/>
    <w:basedOn w:val="DefaultParagraphFont"/>
    <w:link w:val="Numberedparagraph-EDPB"/>
    <w:uiPriority w:val="3"/>
    <w:rsid w:val="00B3739D"/>
    <w:rPr>
      <w:rFonts w:ascii="Glory" w:cs="Calibri" w:eastAsia="Times New Roman" w:hAnsi="Glory"/>
      <w:color w:themeColor="text1" w:val="000000"/>
      <w:sz w:val="22"/>
      <w:szCs w:val="24"/>
    </w:rPr>
  </w:style>
  <w:style w:styleId="Header" w:type="paragraph">
    <w:name w:val="header"/>
    <w:basedOn w:val="Normal"/>
    <w:link w:val="HeaderChar"/>
    <w:uiPriority w:val="99"/>
    <w:rsid w:val="00690B21"/>
    <w:pPr>
      <w:tabs>
        <w:tab w:pos="4513" w:val="center"/>
        <w:tab w:pos="9026" w:val="right"/>
      </w:tabs>
      <w:spacing w:after="0" w:line="240" w:lineRule="auto"/>
    </w:pPr>
  </w:style>
  <w:style w:customStyle="1" w:styleId="HeaderChar" w:type="character">
    <w:name w:val="Header Char"/>
    <w:basedOn w:val="DefaultParagraphFont"/>
    <w:link w:val="Header"/>
    <w:uiPriority w:val="99"/>
    <w:rsid w:val="00FE33F1"/>
    <w:rPr>
      <w:rFonts w:cs="Calibri" w:eastAsia="Times New Roman"/>
      <w:color w:themeColor="text1" w:val="000000"/>
      <w:sz w:val="22"/>
      <w:szCs w:val="24"/>
    </w:rPr>
  </w:style>
  <w:style w:styleId="Footer" w:type="paragraph">
    <w:name w:val="footer"/>
    <w:basedOn w:val="Normal"/>
    <w:link w:val="FooterChar"/>
    <w:uiPriority w:val="99"/>
    <w:rsid w:val="00690B21"/>
    <w:pPr>
      <w:tabs>
        <w:tab w:pos="4513" w:val="center"/>
        <w:tab w:pos="9026" w:val="right"/>
      </w:tabs>
      <w:spacing w:after="0" w:line="240" w:lineRule="auto"/>
    </w:pPr>
  </w:style>
  <w:style w:customStyle="1" w:styleId="FooterChar" w:type="character">
    <w:name w:val="Footer Char"/>
    <w:basedOn w:val="DefaultParagraphFont"/>
    <w:link w:val="Footer"/>
    <w:uiPriority w:val="99"/>
    <w:rsid w:val="00FE33F1"/>
    <w:rPr>
      <w:rFonts w:cs="Calibri" w:eastAsia="Times New Roman"/>
      <w:color w:themeColor="text1" w:val="000000"/>
      <w:sz w:val="22"/>
      <w:szCs w:val="24"/>
    </w:rPr>
  </w:style>
  <w:style w:styleId="PlaceholderText" w:type="character">
    <w:name w:val="Placeholder Text"/>
    <w:basedOn w:val="DefaultParagraphFont"/>
    <w:uiPriority w:val="99"/>
    <w:rsid w:val="002321F7"/>
    <w:rPr>
      <w:color w:val="808080"/>
    </w:rPr>
  </w:style>
  <w:style w:customStyle="1" w:styleId="FooterEDPB" w:type="paragraph">
    <w:name w:val="Footer EDPB"/>
    <w:basedOn w:val="Footer"/>
    <w:link w:val="FooterEDPBChar"/>
    <w:uiPriority w:val="4"/>
    <w:qFormat/>
    <w:rsid w:val="00824179"/>
    <w:rPr>
      <w:color w:themeColor="text2" w:val="0A105D"/>
      <w:sz w:val="18"/>
      <w:szCs w:val="18"/>
    </w:rPr>
  </w:style>
  <w:style w:customStyle="1" w:styleId="FooterEDPBChar" w:type="character">
    <w:name w:val="Footer EDPB Char"/>
    <w:basedOn w:val="FooterChar"/>
    <w:link w:val="FooterEDPB"/>
    <w:uiPriority w:val="4"/>
    <w:rsid w:val="007B75F9"/>
    <w:rPr>
      <w:rFonts w:ascii="Glory" w:cs="Calibri" w:eastAsia="Times New Roman" w:hAnsi="Glory"/>
      <w:color w:themeColor="text2" w:val="0A105D"/>
      <w:sz w:val="18"/>
      <w:szCs w:val="18"/>
    </w:rPr>
  </w:style>
  <w:style w:styleId="CommentReference" w:type="character">
    <w:name w:val="annotation reference"/>
    <w:basedOn w:val="DefaultParagraphFont"/>
    <w:uiPriority w:val="99"/>
    <w:rsid w:val="00924240"/>
    <w:rPr>
      <w:rFonts w:cs="Times New Roman"/>
      <w:sz w:val="16"/>
      <w:szCs w:val="16"/>
    </w:rPr>
  </w:style>
  <w:style w:styleId="CommentText" w:type="paragraph">
    <w:name w:val="annotation text"/>
    <w:basedOn w:val="Normal"/>
    <w:link w:val="CommentTextChar"/>
    <w:uiPriority w:val="99"/>
    <w:rsid w:val="00924240"/>
    <w:pPr>
      <w:spacing w:after="160" w:before="0" w:line="240" w:lineRule="auto"/>
      <w:jc w:val="left"/>
    </w:pPr>
    <w:rPr>
      <w:rFonts w:cs="Times New Roman"/>
      <w:color w:val="auto"/>
      <w:sz w:val="20"/>
      <w:szCs w:val="20"/>
    </w:rPr>
  </w:style>
  <w:style w:customStyle="1" w:styleId="CommentTextChar" w:type="character">
    <w:name w:val="Comment Text Char"/>
    <w:basedOn w:val="DefaultParagraphFont"/>
    <w:link w:val="CommentText"/>
    <w:uiPriority w:val="99"/>
    <w:rsid w:val="00FE33F1"/>
    <w:rPr>
      <w:rFonts w:cs="Times New Roman" w:eastAsia="Times New Roman"/>
      <w:sz w:val="20"/>
      <w:szCs w:val="20"/>
    </w:rPr>
  </w:style>
  <w:style w:customStyle="1" w:styleId="NoSpacingChar" w:type="character">
    <w:name w:val="No Spacing Char"/>
    <w:basedOn w:val="DefaultParagraphFont"/>
    <w:link w:val="NoSpacing"/>
    <w:uiPriority w:val="1"/>
    <w:locked/>
    <w:rsid w:val="007B75F9"/>
  </w:style>
  <w:style w:styleId="TOC1" w:type="paragraph">
    <w:name w:val="toc 1"/>
    <w:basedOn w:val="Normal"/>
    <w:next w:val="Normal"/>
    <w:link w:val="TOC1Char"/>
    <w:autoRedefine/>
    <w:uiPriority w:val="39"/>
    <w:qFormat/>
    <w:rsid w:val="00824272"/>
    <w:pPr>
      <w:tabs>
        <w:tab w:pos="567" w:val="left"/>
        <w:tab w:leader="dot" w:pos="9016" w:val="right"/>
      </w:tabs>
      <w:spacing w:after="100"/>
      <w:jc w:val="left"/>
    </w:pPr>
    <w:rPr>
      <w:b/>
      <w:color w:themeColor="text2" w:val="0A105D"/>
    </w:rPr>
  </w:style>
  <w:style w:styleId="BalloonText" w:type="paragraph">
    <w:name w:val="Balloon Text"/>
    <w:basedOn w:val="Normal"/>
    <w:link w:val="BalloonTextChar"/>
    <w:uiPriority w:val="99"/>
    <w:rsid w:val="00924240"/>
    <w:pPr>
      <w:spacing w:after="0" w:before="0" w:line="240" w:lineRule="auto"/>
    </w:pPr>
    <w:rPr>
      <w:rFonts w:ascii="Segoe UI" w:cs="Segoe UI" w:hAnsi="Segoe UI"/>
      <w:sz w:val="18"/>
      <w:szCs w:val="18"/>
    </w:rPr>
  </w:style>
  <w:style w:customStyle="1" w:styleId="BalloonTextChar" w:type="character">
    <w:name w:val="Balloon Text Char"/>
    <w:basedOn w:val="DefaultParagraphFont"/>
    <w:link w:val="BalloonText"/>
    <w:uiPriority w:val="99"/>
    <w:rsid w:val="00FE33F1"/>
    <w:rPr>
      <w:rFonts w:ascii="Segoe UI" w:cs="Segoe UI" w:eastAsia="Times New Roman" w:hAnsi="Segoe UI"/>
      <w:color w:themeColor="text1" w:val="000000"/>
      <w:sz w:val="18"/>
      <w:szCs w:val="18"/>
    </w:rPr>
  </w:style>
  <w:style w:customStyle="1" w:styleId="TextInABox" w:type="paragraph">
    <w:name w:val="TextInABox"/>
    <w:basedOn w:val="Normal"/>
    <w:unhideWhenUsed/>
    <w:qFormat/>
    <w:rsid w:val="0025330E"/>
    <w:pPr>
      <w:pBdr>
        <w:top w:color="auto" w:space="1" w:sz="4" w:val="single"/>
        <w:left w:color="auto" w:space="4" w:sz="4" w:val="single"/>
        <w:bottom w:color="auto" w:space="1" w:sz="4" w:val="single"/>
        <w:right w:color="auto" w:space="4" w:sz="4" w:val="single"/>
      </w:pBdr>
      <w:spacing w:after="160" w:before="0"/>
    </w:pPr>
    <w:rPr>
      <w:rFonts w:cs="Times New Roman"/>
      <w:color w:val="auto"/>
      <w:szCs w:val="22"/>
    </w:rPr>
  </w:style>
  <w:style w:customStyle="1" w:styleId="UnnumberedSectionHeader" w:type="paragraph">
    <w:name w:val="UnnumberedSectionHeader"/>
    <w:basedOn w:val="Normal"/>
    <w:link w:val="UnnumberedSectionHeaderChar"/>
    <w:unhideWhenUsed/>
    <w:qFormat/>
    <w:rsid w:val="00824179"/>
    <w:pPr>
      <w:spacing w:after="160" w:before="240"/>
    </w:pPr>
    <w:rPr>
      <w:rFonts w:cs="Times New Roman"/>
      <w:i/>
      <w:color w:val="auto"/>
      <w:szCs w:val="22"/>
      <w:u w:val="single"/>
    </w:rPr>
  </w:style>
  <w:style w:customStyle="1" w:styleId="UnnumberedSectionHeaderChar" w:type="character">
    <w:name w:val="UnnumberedSectionHeader Char"/>
    <w:basedOn w:val="DefaultParagraphFont"/>
    <w:link w:val="UnnumberedSectionHeader"/>
    <w:locked/>
    <w:rsid w:val="007B75F9"/>
    <w:rPr>
      <w:rFonts w:ascii="Glory" w:cs="Times New Roman" w:eastAsia="Times New Roman" w:hAnsi="Glory"/>
      <w:i/>
      <w:sz w:val="22"/>
      <w:szCs w:val="22"/>
      <w:u w:val="single"/>
    </w:rPr>
  </w:style>
  <w:style w:customStyle="1" w:styleId="StarSpacer" w:type="paragraph">
    <w:name w:val="StarSpacer"/>
    <w:basedOn w:val="ListParagraph"/>
    <w:link w:val="StarSpacerChar"/>
    <w:unhideWhenUsed/>
    <w:qFormat/>
    <w:rsid w:val="00824179"/>
    <w:pPr>
      <w:spacing w:after="240" w:before="240"/>
      <w:ind w:left="0"/>
      <w:jc w:val="center"/>
    </w:pPr>
    <w:rPr>
      <w:rFonts w:cs="Times New Roman"/>
      <w:color w:val="auto"/>
      <w:szCs w:val="22"/>
    </w:rPr>
  </w:style>
  <w:style w:customStyle="1" w:styleId="StarSpacerChar" w:type="character">
    <w:name w:val="StarSpacer Char"/>
    <w:basedOn w:val="DefaultParagraphFont"/>
    <w:link w:val="StarSpacer"/>
    <w:locked/>
    <w:rsid w:val="007B75F9"/>
    <w:rPr>
      <w:rFonts w:ascii="Glory" w:cs="Times New Roman" w:eastAsia="Times New Roman" w:hAnsi="Glory"/>
      <w:sz w:val="22"/>
      <w:szCs w:val="22"/>
    </w:rPr>
  </w:style>
  <w:style w:styleId="TOC3" w:type="paragraph">
    <w:name w:val="toc 3"/>
    <w:basedOn w:val="Normal"/>
    <w:next w:val="Normal"/>
    <w:autoRedefine/>
    <w:uiPriority w:val="39"/>
    <w:rsid w:val="00BB6F65"/>
    <w:pPr>
      <w:tabs>
        <w:tab w:pos="1320" w:val="left"/>
        <w:tab w:leader="dot" w:pos="9016" w:val="right"/>
      </w:tabs>
      <w:spacing w:after="100"/>
      <w:ind w:left="794"/>
    </w:pPr>
  </w:style>
  <w:style w:customStyle="1" w:styleId="TOC1Char" w:type="character">
    <w:name w:val="TOC 1 Char"/>
    <w:basedOn w:val="DefaultParagraphFont"/>
    <w:link w:val="TOC1"/>
    <w:uiPriority w:val="39"/>
    <w:rsid w:val="00FE33F1"/>
    <w:rPr>
      <w:rFonts w:cs="Calibri" w:eastAsia="Times New Roman"/>
      <w:b/>
      <w:color w:themeColor="text2" w:val="0A105D"/>
      <w:sz w:val="22"/>
      <w:szCs w:val="24"/>
    </w:rPr>
  </w:style>
  <w:style w:styleId="PlainTable3" w:type="table">
    <w:name w:val="Plain Table 3"/>
    <w:basedOn w:val="TableNormal"/>
    <w:uiPriority w:val="43"/>
    <w:rsid w:val="0047378B"/>
    <w:pPr>
      <w:spacing w:after="0" w:line="240" w:lineRule="auto"/>
    </w:pPr>
    <w:tblPr>
      <w:tblStyleRowBandSize w:val="1"/>
      <w:tblStyleColBandSize w:val="1"/>
    </w:tblPr>
    <w:tblStylePr w:type="firstRow">
      <w:rPr>
        <w:b/>
        <w:bCs/>
        <w:caps/>
      </w:rPr>
      <w:tblPr/>
      <w:tcPr>
        <w:tcBorders>
          <w:bottom w:color="7F7F7F" w:space="0" w:sz="4" w:themeColor="text1" w:themeTint="80" w:val="single"/>
        </w:tcBorders>
      </w:tcPr>
    </w:tblStylePr>
    <w:tblStylePr w:type="lastRow">
      <w:rPr>
        <w:b/>
        <w:bCs/>
        <w:caps/>
      </w:rPr>
      <w:tblPr/>
      <w:tcPr>
        <w:tcBorders>
          <w:top w:val="nil"/>
        </w:tcBorders>
      </w:tcPr>
    </w:tblStylePr>
    <w:tblStylePr w:type="firstCol">
      <w:rPr>
        <w:b/>
        <w:bCs/>
        <w:caps/>
      </w:rPr>
      <w:tblPr/>
      <w:tcPr>
        <w:tcBorders>
          <w:right w:color="7F7F7F" w:space="0" w:sz="4" w:themeColor="text1" w:themeTint="80" w:val="single"/>
        </w:tcBorders>
      </w:tcPr>
    </w:tblStylePr>
    <w:tblStylePr w:type="lastCol">
      <w:rPr>
        <w:b/>
        <w:bCs/>
        <w:caps/>
      </w:rPr>
      <w:tblPr/>
      <w:tcPr>
        <w:tcBorders>
          <w:left w:val="nil"/>
        </w:tcBorders>
      </w:tcPr>
    </w:tblStylePr>
    <w:tblStylePr w:type="band1Vert">
      <w:tblPr/>
      <w:tcPr>
        <w:shd w:color="auto" w:fill="F2F2F2" w:themeFill="background1" w:themeFillShade="F2" w:val="clear"/>
      </w:tcPr>
    </w:tblStylePr>
    <w:tblStylePr w:type="band1Horz">
      <w:tblPr/>
      <w:tcPr>
        <w:shd w:color="auto" w:fill="F2F2F2" w:themeFill="background1" w:themeFillShade="F2" w:val="clear"/>
      </w:tcPr>
    </w:tblStylePr>
    <w:tblStylePr w:type="neCell">
      <w:tblPr/>
      <w:tcPr>
        <w:tcBorders>
          <w:left w:val="nil"/>
        </w:tcBorders>
      </w:tcPr>
    </w:tblStylePr>
    <w:tblStylePr w:type="nwCell">
      <w:tblPr/>
      <w:tcPr>
        <w:tcBorders>
          <w:right w:val="nil"/>
        </w:tcBorders>
      </w:tcPr>
    </w:tblStylePr>
  </w:style>
  <w:style w:styleId="TOC4" w:type="paragraph">
    <w:name w:val="toc 4"/>
    <w:basedOn w:val="Normal"/>
    <w:next w:val="Normal"/>
    <w:autoRedefine/>
    <w:uiPriority w:val="39"/>
    <w:rsid w:val="00BB6F65"/>
    <w:pPr>
      <w:spacing w:after="100"/>
      <w:ind w:left="720"/>
    </w:pPr>
  </w:style>
  <w:style w:customStyle="1" w:styleId="Listbullets-EDPB" w:type="paragraph">
    <w:name w:val="List bullets - EDPB"/>
    <w:basedOn w:val="ListParagraph"/>
    <w:next w:val="Normal"/>
    <w:uiPriority w:val="3"/>
    <w:qFormat/>
    <w:rsid w:val="00AA2554"/>
    <w:pPr>
      <w:numPr>
        <w:numId w:val="4"/>
      </w:numPr>
    </w:pPr>
  </w:style>
  <w:style w:styleId="GridTable2-Accent3" w:type="table">
    <w:name w:val="Grid Table 2 Accent 3"/>
    <w:basedOn w:val="TableNormal"/>
    <w:uiPriority w:val="47"/>
    <w:rsid w:val="00AA2554"/>
    <w:pPr>
      <w:spacing w:after="0" w:line="240" w:lineRule="auto"/>
    </w:pPr>
    <w:tblPr>
      <w:tblStyleRowBandSize w:val="1"/>
      <w:tblStyleColBandSize w:val="1"/>
      <w:tblBorders>
        <w:top w:color="2230E7" w:space="0" w:sz="2" w:themeColor="accent3" w:themeTint="99" w:val="single"/>
        <w:bottom w:color="2230E7" w:space="0" w:sz="2" w:themeColor="accent3" w:themeTint="99" w:val="single"/>
        <w:insideH w:color="2230E7" w:space="0" w:sz="2" w:themeColor="accent3" w:themeTint="99" w:val="single"/>
        <w:insideV w:color="2230E7" w:space="0" w:sz="2" w:themeColor="accent3" w:themeTint="99" w:val="single"/>
      </w:tblBorders>
    </w:tblPr>
    <w:tblStylePr w:type="firstRow">
      <w:rPr>
        <w:b/>
        <w:bCs/>
      </w:rPr>
      <w:tblPr/>
      <w:tcPr>
        <w:tcBorders>
          <w:top w:val="nil"/>
          <w:bottom w:color="2230E7" w:space="0" w:sz="12" w:themeColor="accent3" w:themeTint="99" w:val="single"/>
          <w:insideH w:val="nil"/>
          <w:insideV w:val="nil"/>
        </w:tcBorders>
        <w:shd w:color="auto" w:fill="FFFFFF" w:themeFill="background1" w:val="clear"/>
      </w:tcPr>
    </w:tblStylePr>
    <w:tblStylePr w:type="lastRow">
      <w:rPr>
        <w:b/>
        <w:bCs/>
      </w:rPr>
      <w:tblPr/>
      <w:tcPr>
        <w:tcBorders>
          <w:top w:color="2230E7" w:space="0" w:sz="2" w:themeColor="accent3" w:themeTint="99" w:val="double"/>
          <w:bottom w:val="nil"/>
          <w:insideH w:val="nil"/>
          <w:insideV w:val="nil"/>
        </w:tcBorders>
        <w:shd w:color="auto" w:fill="FFFFFF" w:themeFill="background1" w:val="clear"/>
      </w:tcPr>
    </w:tblStylePr>
    <w:tblStylePr w:type="firstCol">
      <w:rPr>
        <w:b/>
        <w:bCs/>
      </w:rPr>
    </w:tblStylePr>
    <w:tblStylePr w:type="lastCol">
      <w:rPr>
        <w:b/>
        <w:bCs/>
      </w:rPr>
    </w:tblStylePr>
    <w:tblStylePr w:type="band1Vert">
      <w:tblPr/>
      <w:tcPr>
        <w:shd w:color="auto" w:fill="B5B9F7" w:themeFill="accent3" w:themeFillTint="33" w:val="clear"/>
      </w:tcPr>
    </w:tblStylePr>
    <w:tblStylePr w:type="band1Horz">
      <w:tblPr/>
      <w:tcPr>
        <w:shd w:color="auto" w:fill="B5B9F7" w:themeFill="accent3" w:themeFillTint="33" w:val="clear"/>
      </w:tcPr>
    </w:tblStylePr>
  </w:style>
  <w:style w:customStyle="1" w:styleId="Listofnumbers-EDPB" w:type="paragraph">
    <w:name w:val="List of numbers - EDPB"/>
    <w:basedOn w:val="Listbullets-EDPB"/>
    <w:next w:val="Normal"/>
    <w:autoRedefine/>
    <w:uiPriority w:val="3"/>
    <w:qFormat/>
    <w:rsid w:val="00446B6F"/>
    <w:pPr>
      <w:numPr>
        <w:numId w:val="5"/>
      </w:numPr>
    </w:pPr>
  </w:style>
  <w:style w:customStyle="1" w:styleId="Editorialinfo-version" w:type="paragraph">
    <w:name w:val="Editorial info - version"/>
    <w:aliases w:val="date-EDPB"/>
    <w:autoRedefine/>
    <w:uiPriority w:val="1"/>
    <w:qFormat/>
    <w:rsid w:val="00557DA5"/>
    <w:pPr>
      <w:jc w:val="center"/>
    </w:pPr>
    <w:rPr>
      <w:rFonts w:cs="Calibri" w:eastAsia="Times New Roman"/>
      <w:color w:themeColor="text2" w:val="0A105D"/>
      <w:sz w:val="28"/>
      <w:szCs w:val="32"/>
    </w:rPr>
  </w:style>
  <w:style w:styleId="GridTable5Dark-Accent1" w:type="table">
    <w:name w:val="Grid Table 5 Dark Accent 1"/>
    <w:basedOn w:val="TableNormal"/>
    <w:uiPriority w:val="50"/>
    <w:rsid w:val="0065506B"/>
    <w:pPr>
      <w:spacing w:after="0" w:line="240" w:lineRule="auto"/>
    </w:p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B5B9F7" w:themeFill="accent1"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0A105D" w:themeFill="accent1"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0A105D" w:themeFill="accent1"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0A105D" w:themeFill="accent1"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0A105D" w:themeFill="accent1" w:val="clear"/>
      </w:tcPr>
    </w:tblStylePr>
    <w:tblStylePr w:type="band1Vert">
      <w:tblPr/>
      <w:tcPr>
        <w:shd w:color="auto" w:fill="6B75EF" w:themeFill="accent1" w:themeFillTint="66" w:val="clear"/>
      </w:tcPr>
    </w:tblStylePr>
    <w:tblStylePr w:type="band1Horz">
      <w:tblPr/>
      <w:tcPr>
        <w:shd w:color="auto" w:fill="6B75EF" w:themeFill="accent1" w:themeFillTint="66" w:val="clear"/>
      </w:tcPr>
    </w:tblStylePr>
  </w:style>
  <w:style w:styleId="PlainTable5" w:type="table">
    <w:name w:val="Plain Table 5"/>
    <w:aliases w:val="Table 3 - EDPB"/>
    <w:basedOn w:val="TableNormal"/>
    <w:uiPriority w:val="45"/>
    <w:rsid w:val="009A25EE"/>
    <w:pPr>
      <w:spacing w:after="0" w:line="240" w:lineRule="auto"/>
    </w:pPr>
    <w:tblPr>
      <w:tblStyleRowBandSize w:val="1"/>
      <w:tblStyleColBandSize w:val="1"/>
    </w:tblPr>
    <w:tblStylePr w:type="firstRow">
      <w:rPr>
        <w:rFonts w:asciiTheme="majorHAnsi" w:cstheme="majorBidi" w:eastAsiaTheme="majorEastAsia" w:hAnsiTheme="majorHAnsi"/>
        <w:b/>
        <w:i w:val="0"/>
        <w:iCs/>
        <w:sz w:val="26"/>
      </w:rPr>
      <w:tblPr/>
      <w:tcPr>
        <w:tcBorders>
          <w:bottom w:color="7F7F7F" w:space="0" w:sz="4" w:themeColor="text1" w:themeTint="80" w:val="single"/>
        </w:tcBorders>
        <w:shd w:color="auto" w:fill="FFFFFF" w:themeFill="background1" w:val="clear"/>
      </w:tcPr>
    </w:tblStylePr>
    <w:tblStylePr w:type="lastRow">
      <w:rPr>
        <w:rFonts w:asciiTheme="majorHAnsi" w:cstheme="majorBidi" w:eastAsiaTheme="majorEastAsia" w:hAnsiTheme="majorHAnsi"/>
        <w:i/>
        <w:iCs/>
        <w:sz w:val="26"/>
      </w:rPr>
      <w:tblPr/>
      <w:tcPr>
        <w:tcBorders>
          <w:top w:color="7F7F7F" w:space="0" w:sz="4" w:themeColor="text1" w:themeTint="80" w:val="single"/>
        </w:tcBorders>
        <w:shd w:color="auto" w:fill="FFFFFF" w:themeFill="background1" w:val="clear"/>
      </w:tcPr>
    </w:tblStylePr>
    <w:tblStylePr w:type="firstCol">
      <w:pPr>
        <w:jc w:val="right"/>
      </w:pPr>
      <w:rPr>
        <w:rFonts w:asciiTheme="majorHAnsi" w:cstheme="majorBidi" w:eastAsiaTheme="majorEastAsia" w:hAnsiTheme="majorHAnsi"/>
        <w:b/>
        <w:i w:val="0"/>
        <w:iCs/>
        <w:sz w:val="26"/>
      </w:rPr>
      <w:tblPr/>
      <w:tcPr>
        <w:tcBorders>
          <w:right w:color="7F7F7F" w:space="0" w:sz="4" w:themeColor="text1" w:themeTint="80" w:val="single"/>
        </w:tcBorders>
        <w:shd w:color="auto" w:fill="FFFFFF" w:themeFill="background1" w:val="clear"/>
      </w:tcPr>
    </w:tblStylePr>
    <w:tblStylePr w:type="lastCol">
      <w:rPr>
        <w:rFonts w:asciiTheme="majorHAnsi" w:cstheme="majorBidi" w:eastAsiaTheme="majorEastAsia" w:hAnsiTheme="majorHAnsi"/>
        <w:i/>
        <w:iCs/>
        <w:sz w:val="26"/>
      </w:rPr>
      <w:tblPr/>
      <w:tcPr>
        <w:tcBorders>
          <w:left w:color="7F7F7F" w:space="0" w:sz="4" w:themeColor="text1" w:themeTint="80" w:val="single"/>
        </w:tcBorders>
        <w:shd w:color="auto" w:fill="FFFFFF" w:themeFill="background1" w:val="clear"/>
      </w:tcPr>
    </w:tblStylePr>
    <w:tblStylePr w:type="band1Vert">
      <w:tblPr/>
      <w:tcPr>
        <w:shd w:color="auto" w:fill="F2F2F2" w:themeFill="background1" w:themeFillShade="F2" w:val="clear"/>
      </w:tcPr>
    </w:tblStylePr>
    <w:tblStylePr w:type="band1Horz">
      <w:tblPr/>
      <w:tcPr>
        <w:shd w:color="auto" w:fill="F2F2F2" w:themeFill="background1" w:themeFillShade="F2" w:val="clear"/>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styleId="GridTable1Light-Accent5" w:type="table">
    <w:name w:val="Grid Table 1 Light Accent 5"/>
    <w:basedOn w:val="TableNormal"/>
    <w:uiPriority w:val="46"/>
    <w:rsid w:val="004B5C8E"/>
    <w:pPr>
      <w:spacing w:after="0" w:line="240" w:lineRule="auto"/>
    </w:pPr>
    <w:rPr>
      <w:sz w:val="22"/>
    </w:rPr>
    <w:tblPr>
      <w:tblStyleRowBandSize w:val="1"/>
      <w:tblStyleColBandSize w:val="1"/>
    </w:tblPr>
    <w:tblStylePr w:type="firstRow">
      <w:rPr>
        <w:rFonts w:ascii="Glory" w:hAnsi="Glory"/>
        <w:b/>
        <w:bCs/>
        <w:color w:themeColor="accent1" w:val="0A105D"/>
        <w:sz w:val="28"/>
      </w:rPr>
      <w:tblPr/>
      <w:tcPr>
        <w:tcBorders>
          <w:bottom w:color="666666" w:space="0" w:sz="12" w:themeColor="accent5" w:themeTint="99" w:val="single"/>
        </w:tcBorders>
      </w:tcPr>
    </w:tblStylePr>
    <w:tblStylePr w:type="lastRow">
      <w:rPr>
        <w:b/>
        <w:bCs/>
      </w:rPr>
      <w:tblPr/>
      <w:tcPr>
        <w:tcBorders>
          <w:top w:color="666666" w:space="0" w:sz="2" w:themeColor="accent5" w:themeTint="99" w:val="double"/>
        </w:tcBorders>
      </w:tcPr>
    </w:tblStylePr>
    <w:tblStylePr w:type="firstCol">
      <w:rPr>
        <w:b/>
        <w:bCs/>
      </w:rPr>
    </w:tblStylePr>
    <w:tblStylePr w:type="lastCol">
      <w:rPr>
        <w:b/>
        <w:bCs/>
      </w:rPr>
    </w:tblStylePr>
  </w:style>
  <w:style w:customStyle="1" w:styleId="Table5-EDPB" w:type="table">
    <w:name w:val="Table 5 - EDPB"/>
    <w:basedOn w:val="TableNormal"/>
    <w:uiPriority w:val="99"/>
    <w:rsid w:val="004B5C8E"/>
    <w:pPr>
      <w:spacing w:after="0" w:line="240" w:lineRule="auto"/>
    </w:pPr>
    <w:rPr>
      <w:sz w:val="22"/>
    </w:rPr>
    <w:tblPr/>
    <w:tcPr>
      <w:vAlign w:val="center"/>
    </w:tcPr>
    <w:tblStylePr w:type="firstRow">
      <w:pPr>
        <w:jc w:val="left"/>
      </w:pPr>
      <w:rPr>
        <w:rFonts w:ascii="Glory" w:hAnsi="Glory"/>
        <w:b/>
        <w:sz w:val="28"/>
      </w:rPr>
      <w:tblPr/>
      <w:tcPr>
        <w:tcBorders>
          <w:top w:val="nil"/>
          <w:left w:val="nil"/>
          <w:bottom w:color="08149C" w:space="0" w:sz="12" w:themeColor="accent2" w:val="single"/>
          <w:right w:val="nil"/>
          <w:insideH w:val="nil"/>
          <w:insideV w:val="nil"/>
        </w:tcBorders>
        <w:vAlign w:val="center"/>
      </w:tcPr>
    </w:tblStylePr>
  </w:style>
  <w:style w:styleId="GridTable4-Accent1" w:type="table">
    <w:name w:val="Grid Table 4 Accent 1"/>
    <w:basedOn w:val="TableNormal"/>
    <w:uiPriority w:val="49"/>
    <w:rsid w:val="009A25EE"/>
    <w:pPr>
      <w:spacing w:after="0" w:line="240" w:lineRule="auto"/>
    </w:pPr>
    <w:tblPr>
      <w:tblStyleRowBandSize w:val="1"/>
      <w:tblStyleColBandSize w:val="1"/>
      <w:tblBorders>
        <w:top w:color="2230E7" w:space="0" w:sz="4" w:themeColor="accent1" w:themeTint="99" w:val="single"/>
        <w:left w:color="2230E7" w:space="0" w:sz="4" w:themeColor="accent1" w:themeTint="99" w:val="single"/>
        <w:bottom w:color="2230E7" w:space="0" w:sz="4" w:themeColor="accent1" w:themeTint="99" w:val="single"/>
        <w:right w:color="2230E7" w:space="0" w:sz="4" w:themeColor="accent1" w:themeTint="99" w:val="single"/>
        <w:insideH w:color="2230E7" w:space="0" w:sz="4" w:themeColor="accent1" w:themeTint="99" w:val="single"/>
        <w:insideV w:color="2230E7" w:space="0" w:sz="4" w:themeColor="accent1" w:themeTint="99" w:val="single"/>
      </w:tblBorders>
    </w:tblPr>
    <w:tblStylePr w:type="firstRow">
      <w:rPr>
        <w:b/>
        <w:bCs/>
        <w:color w:val="FFFFFF"/>
      </w:rPr>
      <w:tblPr/>
      <w:tcPr>
        <w:tcBorders>
          <w:top w:color="0A105D" w:space="0" w:sz="4" w:themeColor="accent1" w:val="single"/>
          <w:left w:color="0A105D" w:space="0" w:sz="4" w:themeColor="accent1" w:val="single"/>
          <w:bottom w:color="0A105D" w:space="0" w:sz="4" w:themeColor="accent1" w:val="single"/>
          <w:right w:color="0A105D" w:space="0" w:sz="4" w:themeColor="accent1" w:val="single"/>
          <w:insideH w:val="nil"/>
          <w:insideV w:val="nil"/>
        </w:tcBorders>
        <w:shd w:color="auto" w:fill="0A105D" w:themeFill="accent1" w:val="clear"/>
      </w:tcPr>
    </w:tblStylePr>
    <w:tblStylePr w:type="lastRow">
      <w:rPr>
        <w:b/>
        <w:bCs/>
      </w:rPr>
      <w:tblPr/>
      <w:tcPr>
        <w:tcBorders>
          <w:top w:color="0A105D" w:space="0" w:sz="4" w:themeColor="accent1" w:val="double"/>
        </w:tcBorders>
      </w:tcPr>
    </w:tblStylePr>
    <w:tblStylePr w:type="firstCol">
      <w:rPr>
        <w:b/>
        <w:bCs/>
      </w:rPr>
    </w:tblStylePr>
    <w:tblStylePr w:type="lastCol">
      <w:rPr>
        <w:b/>
        <w:bCs/>
      </w:rPr>
    </w:tblStylePr>
    <w:tblStylePr w:type="band1Vert">
      <w:tblPr/>
      <w:tcPr>
        <w:shd w:color="auto" w:fill="B5B9F7" w:themeFill="accent1" w:themeFillTint="33" w:val="clear"/>
      </w:tcPr>
    </w:tblStylePr>
    <w:tblStylePr w:type="band1Horz">
      <w:tblPr/>
      <w:tcPr>
        <w:shd w:color="auto" w:fill="B5B9F7" w:themeFill="accent1" w:themeFillTint="33" w:val="clear"/>
      </w:tcPr>
    </w:tblStylePr>
  </w:style>
  <w:style w:styleId="GridTable4-Accent3" w:type="table">
    <w:name w:val="Grid Table 4 Accent 3"/>
    <w:basedOn w:val="TableNormal"/>
    <w:uiPriority w:val="49"/>
    <w:rsid w:val="009A25EE"/>
    <w:pPr>
      <w:spacing w:after="0" w:line="240" w:lineRule="auto"/>
    </w:pPr>
    <w:tblPr>
      <w:tblStyleRowBandSize w:val="1"/>
      <w:tblStyleColBandSize w:val="1"/>
      <w:tblBorders>
        <w:top w:color="2230E7" w:space="0" w:sz="4" w:themeColor="accent3" w:themeTint="99" w:val="single"/>
        <w:left w:color="2230E7" w:space="0" w:sz="4" w:themeColor="accent3" w:themeTint="99" w:val="single"/>
        <w:bottom w:color="2230E7" w:space="0" w:sz="4" w:themeColor="accent3" w:themeTint="99" w:val="single"/>
        <w:right w:color="2230E7" w:space="0" w:sz="4" w:themeColor="accent3" w:themeTint="99" w:val="single"/>
        <w:insideH w:color="2230E7" w:space="0" w:sz="4" w:themeColor="accent3" w:themeTint="99" w:val="single"/>
        <w:insideV w:color="2230E7" w:space="0" w:sz="4" w:themeColor="accent3" w:themeTint="99" w:val="single"/>
      </w:tblBorders>
    </w:tblPr>
    <w:tblStylePr w:type="firstRow">
      <w:rPr>
        <w:b/>
        <w:bCs/>
        <w:color w:themeColor="background1" w:val="FFFFFF"/>
      </w:rPr>
      <w:tblPr/>
      <w:tcPr>
        <w:tcBorders>
          <w:top w:color="0A105D" w:space="0" w:sz="4" w:themeColor="accent3" w:val="single"/>
          <w:left w:color="0A105D" w:space="0" w:sz="4" w:themeColor="accent3" w:val="single"/>
          <w:bottom w:color="0A105D" w:space="0" w:sz="4" w:themeColor="accent3" w:val="single"/>
          <w:right w:color="0A105D" w:space="0" w:sz="4" w:themeColor="accent3" w:val="single"/>
          <w:insideH w:val="nil"/>
          <w:insideV w:val="nil"/>
        </w:tcBorders>
        <w:shd w:color="auto" w:fill="0A105D" w:themeFill="accent3" w:val="clear"/>
      </w:tcPr>
    </w:tblStylePr>
    <w:tblStylePr w:type="lastRow">
      <w:rPr>
        <w:b/>
        <w:bCs/>
      </w:rPr>
      <w:tblPr/>
      <w:tcPr>
        <w:tcBorders>
          <w:top w:color="0A105D" w:space="0" w:sz="4" w:themeColor="accent3" w:val="double"/>
        </w:tcBorders>
      </w:tcPr>
    </w:tblStylePr>
    <w:tblStylePr w:type="firstCol">
      <w:rPr>
        <w:b/>
        <w:bCs/>
      </w:rPr>
    </w:tblStylePr>
    <w:tblStylePr w:type="lastCol">
      <w:rPr>
        <w:b/>
        <w:bCs/>
      </w:rPr>
    </w:tblStylePr>
    <w:tblStylePr w:type="band1Vert">
      <w:tblPr/>
      <w:tcPr>
        <w:shd w:color="auto" w:fill="B5B9F7" w:themeFill="accent3" w:themeFillTint="33" w:val="clear"/>
      </w:tcPr>
    </w:tblStylePr>
    <w:tblStylePr w:type="band1Horz">
      <w:tblPr/>
      <w:tcPr>
        <w:shd w:color="auto" w:fill="B5B9F7" w:themeFill="accent3" w:themeFillTint="33" w:val="clear"/>
      </w:tcPr>
    </w:tblStylePr>
  </w:style>
  <w:style w:styleId="GridTable4-Accent4" w:type="table">
    <w:name w:val="Grid Table 4 Accent 4"/>
    <w:basedOn w:val="TableNormal"/>
    <w:uiPriority w:val="49"/>
    <w:rsid w:val="009A25EE"/>
    <w:pPr>
      <w:spacing w:after="0" w:line="240" w:lineRule="auto"/>
    </w:pPr>
    <w:tblPr>
      <w:tblStyleRowBandSize w:val="1"/>
      <w:tblStyleColBandSize w:val="1"/>
      <w:tblBorders>
        <w:top w:color="9EDAFA" w:space="0" w:sz="4" w:themeColor="accent4" w:themeTint="99" w:val="single"/>
        <w:left w:color="9EDAFA" w:space="0" w:sz="4" w:themeColor="accent4" w:themeTint="99" w:val="single"/>
        <w:bottom w:color="9EDAFA" w:space="0" w:sz="4" w:themeColor="accent4" w:themeTint="99" w:val="single"/>
        <w:right w:color="9EDAFA" w:space="0" w:sz="4" w:themeColor="accent4" w:themeTint="99" w:val="single"/>
        <w:insideH w:color="9EDAFA" w:space="0" w:sz="4" w:themeColor="accent4" w:themeTint="99" w:val="single"/>
        <w:insideV w:color="9EDAFA" w:space="0" w:sz="4" w:themeColor="accent4" w:themeTint="99" w:val="single"/>
      </w:tblBorders>
    </w:tblPr>
    <w:tblStylePr w:type="firstRow">
      <w:rPr>
        <w:b/>
        <w:bCs/>
        <w:color w:themeColor="background1" w:val="FFFFFF"/>
      </w:rPr>
      <w:tblPr/>
      <w:tcPr>
        <w:tcBorders>
          <w:top w:color="5EC2F7" w:space="0" w:sz="4" w:themeColor="accent4" w:val="single"/>
          <w:left w:color="5EC2F7" w:space="0" w:sz="4" w:themeColor="accent4" w:val="single"/>
          <w:bottom w:color="5EC2F7" w:space="0" w:sz="4" w:themeColor="accent4" w:val="single"/>
          <w:right w:color="5EC2F7" w:space="0" w:sz="4" w:themeColor="accent4" w:val="single"/>
          <w:insideH w:val="nil"/>
          <w:insideV w:val="nil"/>
        </w:tcBorders>
        <w:shd w:color="auto" w:fill="5EC2F7" w:themeFill="accent4" w:val="clear"/>
      </w:tcPr>
    </w:tblStylePr>
    <w:tblStylePr w:type="lastRow">
      <w:rPr>
        <w:b/>
        <w:bCs/>
      </w:rPr>
      <w:tblPr/>
      <w:tcPr>
        <w:tcBorders>
          <w:top w:color="5EC2F7" w:space="0" w:sz="4" w:themeColor="accent4" w:val="double"/>
        </w:tcBorders>
      </w:tcPr>
    </w:tblStylePr>
    <w:tblStylePr w:type="firstCol">
      <w:rPr>
        <w:b/>
        <w:bCs/>
      </w:rPr>
    </w:tblStylePr>
    <w:tblStylePr w:type="lastCol">
      <w:rPr>
        <w:b/>
        <w:bCs/>
      </w:rPr>
    </w:tblStylePr>
    <w:tblStylePr w:type="band1Vert">
      <w:tblPr/>
      <w:tcPr>
        <w:shd w:color="auto" w:fill="DEF2FD" w:themeFill="accent4" w:themeFillTint="33" w:val="clear"/>
      </w:tcPr>
    </w:tblStylePr>
    <w:tblStylePr w:type="band1Horz">
      <w:tblPr/>
      <w:tcPr>
        <w:shd w:color="auto" w:fill="DEF2FD" w:themeFill="accent4" w:themeFillTint="33" w:val="clear"/>
      </w:tcPr>
    </w:tblStylePr>
  </w:style>
  <w:style w:styleId="GridTable4-Accent2" w:type="table">
    <w:name w:val="Grid Table 4 Accent 2"/>
    <w:basedOn w:val="TableNormal"/>
    <w:uiPriority w:val="49"/>
    <w:rsid w:val="009A25EE"/>
    <w:pPr>
      <w:spacing w:after="0" w:line="240" w:lineRule="auto"/>
    </w:pPr>
    <w:tblPr>
      <w:tblStyleRowBandSize w:val="1"/>
      <w:tblStyleColBandSize w:val="1"/>
      <w:tblBorders>
        <w:top w:color="3948F4" w:space="0" w:sz="4" w:themeColor="accent2" w:themeTint="99" w:val="single"/>
        <w:left w:color="3948F4" w:space="0" w:sz="4" w:themeColor="accent2" w:themeTint="99" w:val="single"/>
        <w:bottom w:color="3948F4" w:space="0" w:sz="4" w:themeColor="accent2" w:themeTint="99" w:val="single"/>
        <w:right w:color="3948F4" w:space="0" w:sz="4" w:themeColor="accent2" w:themeTint="99" w:val="single"/>
        <w:insideH w:color="3948F4" w:space="0" w:sz="4" w:themeColor="accent2" w:themeTint="99" w:val="single"/>
        <w:insideV w:color="3948F4" w:space="0" w:sz="4" w:themeColor="accent2" w:themeTint="99" w:val="single"/>
      </w:tblBorders>
    </w:tblPr>
    <w:tblStylePr w:type="firstRow">
      <w:rPr>
        <w:b/>
        <w:bCs/>
        <w:color w:themeColor="background1" w:val="FFFFFF"/>
      </w:rPr>
      <w:tblPr/>
      <w:tcPr>
        <w:tcBorders>
          <w:top w:color="08149C" w:space="0" w:sz="4" w:themeColor="accent2" w:val="single"/>
          <w:left w:color="08149C" w:space="0" w:sz="4" w:themeColor="accent2" w:val="single"/>
          <w:bottom w:color="08149C" w:space="0" w:sz="4" w:themeColor="accent2" w:val="single"/>
          <w:right w:color="08149C" w:space="0" w:sz="4" w:themeColor="accent2" w:val="single"/>
          <w:insideH w:val="nil"/>
          <w:insideV w:val="nil"/>
        </w:tcBorders>
        <w:shd w:color="auto" w:fill="08149C" w:themeFill="accent2" w:val="clear"/>
      </w:tcPr>
    </w:tblStylePr>
    <w:tblStylePr w:type="lastRow">
      <w:rPr>
        <w:b/>
        <w:bCs/>
      </w:rPr>
      <w:tblPr/>
      <w:tcPr>
        <w:tcBorders>
          <w:top w:color="08149C" w:space="0" w:sz="4" w:themeColor="accent2" w:val="double"/>
        </w:tcBorders>
      </w:tcPr>
    </w:tblStylePr>
    <w:tblStylePr w:type="firstCol">
      <w:rPr>
        <w:b/>
        <w:bCs/>
      </w:rPr>
    </w:tblStylePr>
    <w:tblStylePr w:type="lastCol">
      <w:rPr>
        <w:b/>
        <w:bCs/>
      </w:rPr>
    </w:tblStylePr>
    <w:tblStylePr w:type="band1Vert">
      <w:tblPr/>
      <w:tcPr>
        <w:shd w:color="auto" w:fill="BDC1FB" w:themeFill="accent2" w:themeFillTint="33" w:val="clear"/>
      </w:tcPr>
    </w:tblStylePr>
    <w:tblStylePr w:type="band1Horz">
      <w:tblPr/>
      <w:tcPr>
        <w:shd w:color="auto" w:fill="BDC1FB" w:themeFill="accent2" w:themeFillTint="33" w:val="clear"/>
      </w:tcPr>
    </w:tblStylePr>
  </w:style>
  <w:style w:styleId="GridTable5Dark" w:type="table">
    <w:name w:val="Grid Table 5 Dark"/>
    <w:basedOn w:val="TableNormal"/>
    <w:uiPriority w:val="50"/>
    <w:rsid w:val="009A25EE"/>
    <w:pPr>
      <w:spacing w:after="0" w:line="240" w:lineRule="auto"/>
    </w:p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CCCCCC" w:themeFill="text1"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000000" w:themeFill="text1"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000000" w:themeFill="text1"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000000" w:themeFill="text1"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000000" w:themeFill="text1" w:val="clear"/>
      </w:tcPr>
    </w:tblStylePr>
    <w:tblStylePr w:type="band1Vert">
      <w:tblPr/>
      <w:tcPr>
        <w:shd w:color="auto" w:fill="999999" w:themeFill="text1" w:themeFillTint="66" w:val="clear"/>
      </w:tcPr>
    </w:tblStylePr>
    <w:tblStylePr w:type="band1Horz">
      <w:tblPr/>
      <w:tcPr>
        <w:shd w:color="auto" w:fill="999999" w:themeFill="text1" w:themeFillTint="66" w:val="clear"/>
      </w:tcPr>
    </w:tblStylePr>
  </w:style>
  <w:style w:styleId="GridTable5Dark-Accent2" w:type="table">
    <w:name w:val="Grid Table 5 Dark Accent 2"/>
    <w:basedOn w:val="TableNormal"/>
    <w:uiPriority w:val="50"/>
    <w:rsid w:val="009A25EE"/>
    <w:pPr>
      <w:spacing w:after="0" w:line="240" w:lineRule="auto"/>
    </w:p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BDC1FB" w:themeFill="accent2"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08149C" w:themeFill="accent2"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08149C" w:themeFill="accent2"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08149C" w:themeFill="accent2"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08149C" w:themeFill="accent2" w:val="clear"/>
      </w:tcPr>
    </w:tblStylePr>
    <w:tblStylePr w:type="band1Vert">
      <w:tblPr/>
      <w:tcPr>
        <w:shd w:color="auto" w:fill="7B84F8" w:themeFill="accent2" w:themeFillTint="66" w:val="clear"/>
      </w:tcPr>
    </w:tblStylePr>
    <w:tblStylePr w:type="band1Horz">
      <w:tblPr/>
      <w:tcPr>
        <w:shd w:color="auto" w:fill="7B84F8" w:themeFill="accent2" w:themeFillTint="66" w:val="clear"/>
      </w:tcPr>
    </w:tblStylePr>
  </w:style>
  <w:style w:styleId="GridTable5Dark-Accent3" w:type="table">
    <w:name w:val="Grid Table 5 Dark Accent 3"/>
    <w:basedOn w:val="TableNormal"/>
    <w:uiPriority w:val="50"/>
    <w:rsid w:val="009A25EE"/>
    <w:pPr>
      <w:spacing w:after="0" w:line="240" w:lineRule="auto"/>
    </w:p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B5B9F7" w:themeFill="accent3"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0A105D" w:themeFill="accent3"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0A105D" w:themeFill="accent3"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0A105D" w:themeFill="accent3"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0A105D" w:themeFill="accent3" w:val="clear"/>
      </w:tcPr>
    </w:tblStylePr>
    <w:tblStylePr w:type="band1Vert">
      <w:tblPr/>
      <w:tcPr>
        <w:shd w:color="auto" w:fill="6B75EF" w:themeFill="accent3" w:themeFillTint="66" w:val="clear"/>
      </w:tcPr>
    </w:tblStylePr>
    <w:tblStylePr w:type="band1Horz">
      <w:tblPr/>
      <w:tcPr>
        <w:shd w:color="auto" w:fill="6B75EF" w:themeFill="accent3" w:themeFillTint="66" w:val="clear"/>
      </w:tcPr>
    </w:tblStylePr>
  </w:style>
  <w:style w:styleId="GridTable5Dark-Accent6" w:type="table">
    <w:name w:val="Grid Table 5 Dark Accent 6"/>
    <w:basedOn w:val="TableNormal"/>
    <w:uiPriority w:val="50"/>
    <w:rsid w:val="009A25EE"/>
    <w:pPr>
      <w:spacing w:after="0" w:line="240" w:lineRule="auto"/>
    </w:pPr>
    <w:rPr>
      <w:color w:themeColor="background1" w:themeShade="D9" w:val="D9D9D9"/>
    </w:r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B5B9F7" w:themeFill="accent6"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0A105D" w:themeFill="accent6"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0A105D" w:themeFill="accent6"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0A105D" w:themeFill="accent6"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0A105D" w:themeFill="accent6" w:val="clear"/>
      </w:tcPr>
    </w:tblStylePr>
    <w:tblStylePr w:type="band1Vert">
      <w:tblPr/>
      <w:tcPr>
        <w:shd w:color="auto" w:fill="6B75EF" w:themeFill="accent6" w:themeFillTint="66" w:val="clear"/>
      </w:tcPr>
    </w:tblStylePr>
    <w:tblStylePr w:type="band1Horz">
      <w:tblPr/>
      <w:tcPr>
        <w:shd w:color="auto" w:fill="6B75EF" w:themeFill="accent6" w:themeFillTint="66" w:val="clear"/>
      </w:tcPr>
    </w:tblStylePr>
  </w:style>
  <w:style w:styleId="GridTable1Light-Accent1" w:type="table">
    <w:name w:val="Grid Table 1 Light Accent 1"/>
    <w:aliases w:val="Table 4 - EDPB"/>
    <w:basedOn w:val="TableNormal"/>
    <w:uiPriority w:val="46"/>
    <w:rsid w:val="009A25EE"/>
    <w:pPr>
      <w:spacing w:after="0" w:line="240" w:lineRule="auto"/>
    </w:pPr>
    <w:tblPr>
      <w:tblStyleRowBandSize w:val="1"/>
      <w:tblStyleColBandSize w:val="1"/>
      <w:tblBorders>
        <w:top w:color="6B75EF" w:space="0" w:sz="4" w:themeColor="accent1" w:themeTint="66" w:val="single"/>
        <w:left w:color="6B75EF" w:space="0" w:sz="4" w:themeColor="accent1" w:themeTint="66" w:val="single"/>
        <w:bottom w:color="6B75EF" w:space="0" w:sz="4" w:themeColor="accent1" w:themeTint="66" w:val="single"/>
        <w:right w:color="6B75EF" w:space="0" w:sz="4" w:themeColor="accent1" w:themeTint="66" w:val="single"/>
        <w:insideH w:color="6B75EF" w:space="0" w:sz="4" w:themeColor="accent1" w:themeTint="66" w:val="single"/>
        <w:insideV w:color="6B75EF" w:space="0" w:sz="4" w:themeColor="accent1" w:themeTint="66" w:val="single"/>
      </w:tblBorders>
    </w:tblPr>
    <w:tblStylePr w:type="firstRow">
      <w:rPr>
        <w:b/>
        <w:bCs/>
      </w:rPr>
      <w:tblPr/>
      <w:tcPr>
        <w:tcBorders>
          <w:bottom w:color="2230E7" w:space="0" w:sz="12" w:themeColor="accent1" w:themeTint="99" w:val="single"/>
        </w:tcBorders>
      </w:tcPr>
    </w:tblStylePr>
    <w:tblStylePr w:type="lastRow">
      <w:rPr>
        <w:b/>
        <w:bCs/>
      </w:rPr>
      <w:tblPr/>
      <w:tcPr>
        <w:tcBorders>
          <w:top w:color="2230E7" w:space="0" w:sz="2" w:themeColor="accent1" w:themeTint="99" w:val="double"/>
        </w:tcBorders>
      </w:tcPr>
    </w:tblStylePr>
    <w:tblStylePr w:type="firstCol">
      <w:rPr>
        <w:b/>
        <w:bCs/>
      </w:rPr>
    </w:tblStylePr>
    <w:tblStylePr w:type="lastCol">
      <w:rPr>
        <w:b/>
        <w:bCs/>
      </w:rPr>
    </w:tblStylePr>
  </w:style>
  <w:style w:styleId="GridTable1Light-Accent3" w:type="table">
    <w:name w:val="Grid Table 1 Light Accent 3"/>
    <w:basedOn w:val="TableNormal"/>
    <w:uiPriority w:val="46"/>
    <w:rsid w:val="009A25EE"/>
    <w:pPr>
      <w:spacing w:after="0" w:line="240" w:lineRule="auto"/>
    </w:pPr>
    <w:tblPr>
      <w:tblStyleRowBandSize w:val="1"/>
      <w:tblStyleColBandSize w:val="1"/>
      <w:tblBorders>
        <w:top w:color="6B75EF" w:space="0" w:sz="4" w:themeColor="accent3" w:themeTint="66" w:val="single"/>
        <w:left w:color="6B75EF" w:space="0" w:sz="4" w:themeColor="accent3" w:themeTint="66" w:val="single"/>
        <w:bottom w:color="6B75EF" w:space="0" w:sz="4" w:themeColor="accent3" w:themeTint="66" w:val="single"/>
        <w:right w:color="6B75EF" w:space="0" w:sz="4" w:themeColor="accent3" w:themeTint="66" w:val="single"/>
        <w:insideH w:color="6B75EF" w:space="0" w:sz="4" w:themeColor="accent3" w:themeTint="66" w:val="single"/>
        <w:insideV w:color="6B75EF" w:space="0" w:sz="4" w:themeColor="accent3" w:themeTint="66" w:val="single"/>
      </w:tblBorders>
    </w:tblPr>
    <w:tblStylePr w:type="firstRow">
      <w:rPr>
        <w:b/>
        <w:bCs/>
      </w:rPr>
      <w:tblPr/>
      <w:tcPr>
        <w:tcBorders>
          <w:bottom w:color="2230E7" w:space="0" w:sz="12" w:themeColor="accent3" w:themeTint="99" w:val="single"/>
        </w:tcBorders>
      </w:tcPr>
    </w:tblStylePr>
    <w:tblStylePr w:type="lastRow">
      <w:rPr>
        <w:b/>
        <w:bCs/>
      </w:rPr>
      <w:tblPr/>
      <w:tcPr>
        <w:tcBorders>
          <w:top w:color="2230E7" w:space="0" w:sz="2" w:themeColor="accent3" w:themeTint="99" w:val="double"/>
        </w:tcBorders>
      </w:tcPr>
    </w:tblStylePr>
    <w:tblStylePr w:type="firstCol">
      <w:rPr>
        <w:b/>
        <w:bCs/>
      </w:rPr>
    </w:tblStylePr>
    <w:tblStylePr w:type="lastCol">
      <w:rPr>
        <w:b/>
        <w:bCs/>
      </w:rPr>
    </w:tblStylePr>
  </w:style>
  <w:style w:styleId="GridTable3-Accent5" w:type="table">
    <w:name w:val="Grid Table 3 Accent 5"/>
    <w:basedOn w:val="TableNormal"/>
    <w:uiPriority w:val="48"/>
    <w:rsid w:val="009A25EE"/>
    <w:pPr>
      <w:spacing w:after="0" w:line="240" w:lineRule="auto"/>
    </w:pPr>
    <w:tblPr>
      <w:tblStyleRowBandSize w:val="1"/>
      <w:tblStyleColBandSize w:val="1"/>
      <w:tblBorders>
        <w:top w:color="666666" w:space="0" w:sz="4" w:themeColor="accent5" w:themeTint="99" w:val="single"/>
        <w:left w:color="666666" w:space="0" w:sz="4" w:themeColor="accent5" w:themeTint="99" w:val="single"/>
        <w:bottom w:color="666666" w:space="0" w:sz="4" w:themeColor="accent5" w:themeTint="99" w:val="single"/>
        <w:right w:color="666666" w:space="0" w:sz="4" w:themeColor="accent5" w:themeTint="99" w:val="single"/>
        <w:insideH w:color="666666" w:space="0" w:sz="4" w:themeColor="accent5" w:themeTint="99" w:val="single"/>
        <w:insideV w:color="666666" w:space="0" w:sz="4" w:themeColor="accent5" w:themeTint="99" w:val="single"/>
      </w:tblBorders>
    </w:tblPr>
    <w:tblStylePr w:type="firstRow">
      <w:rPr>
        <w:b/>
        <w:bCs/>
        <w:i w:val="0"/>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val="0"/>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CCCCCC" w:themeFill="accent5" w:themeFillTint="33" w:val="clear"/>
      </w:tcPr>
    </w:tblStylePr>
    <w:tblStylePr w:type="band1Horz">
      <w:tblPr/>
      <w:tcPr>
        <w:shd w:color="auto" w:fill="CCCCCC" w:themeFill="accent5" w:themeFillTint="33" w:val="clear"/>
      </w:tcPr>
    </w:tblStylePr>
    <w:tblStylePr w:type="neCell">
      <w:tblPr/>
      <w:tcPr>
        <w:tcBorders>
          <w:bottom w:color="666666" w:space="0" w:sz="4" w:themeColor="accent5" w:themeTint="99" w:val="single"/>
        </w:tcBorders>
      </w:tcPr>
    </w:tblStylePr>
    <w:tblStylePr w:type="nwCell">
      <w:tblPr/>
      <w:tcPr>
        <w:tcBorders>
          <w:bottom w:color="666666" w:space="0" w:sz="4" w:themeColor="accent5" w:themeTint="99" w:val="single"/>
        </w:tcBorders>
      </w:tcPr>
    </w:tblStylePr>
    <w:tblStylePr w:type="seCell">
      <w:tblPr/>
      <w:tcPr>
        <w:tcBorders>
          <w:top w:color="666666" w:space="0" w:sz="4" w:themeColor="accent5" w:themeTint="99" w:val="single"/>
        </w:tcBorders>
      </w:tcPr>
    </w:tblStylePr>
    <w:tblStylePr w:type="swCell">
      <w:tblPr/>
      <w:tcPr>
        <w:tcBorders>
          <w:top w:color="666666" w:space="0" w:sz="4" w:themeColor="accent5" w:themeTint="99" w:val="single"/>
        </w:tcBorders>
      </w:tcPr>
    </w:tblStylePr>
  </w:style>
  <w:style w:styleId="GridTable7Colorful-Accent3" w:type="table">
    <w:name w:val="Grid Table 7 Colorful Accent 3"/>
    <w:basedOn w:val="TableNormal"/>
    <w:uiPriority w:val="52"/>
    <w:rsid w:val="009A25EE"/>
    <w:pPr>
      <w:spacing w:after="0" w:line="240" w:lineRule="auto"/>
    </w:pPr>
    <w:rPr>
      <w:color w:themeColor="accent3" w:themeShade="BF" w:val="070B45"/>
    </w:rPr>
    <w:tblPr>
      <w:tblStyleRowBandSize w:val="1"/>
      <w:tblStyleColBandSize w:val="1"/>
      <w:tblBorders>
        <w:top w:color="2230E7" w:space="0" w:sz="4" w:themeColor="accent3" w:themeTint="99" w:val="single"/>
        <w:left w:color="2230E7" w:space="0" w:sz="4" w:themeColor="accent3" w:themeTint="99" w:val="single"/>
        <w:bottom w:color="2230E7" w:space="0" w:sz="4" w:themeColor="accent3" w:themeTint="99" w:val="single"/>
        <w:right w:color="2230E7" w:space="0" w:sz="4" w:themeColor="accent3" w:themeTint="99" w:val="single"/>
        <w:insideH w:color="2230E7" w:space="0" w:sz="4" w:themeColor="accent3" w:themeTint="99" w:val="single"/>
        <w:insideV w:color="2230E7" w:space="0" w:sz="4" w:themeColor="accent3"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B5B9F7" w:themeFill="accent3" w:themeFillTint="33" w:val="clear"/>
      </w:tcPr>
    </w:tblStylePr>
    <w:tblStylePr w:type="band1Horz">
      <w:tblPr/>
      <w:tcPr>
        <w:shd w:color="auto" w:fill="B5B9F7" w:themeFill="accent3" w:themeFillTint="33" w:val="clear"/>
      </w:tcPr>
    </w:tblStylePr>
    <w:tblStylePr w:type="neCell">
      <w:tblPr/>
      <w:tcPr>
        <w:tcBorders>
          <w:bottom w:color="2230E7" w:space="0" w:sz="4" w:themeColor="accent3" w:themeTint="99" w:val="single"/>
        </w:tcBorders>
      </w:tcPr>
    </w:tblStylePr>
    <w:tblStylePr w:type="nwCell">
      <w:tblPr/>
      <w:tcPr>
        <w:tcBorders>
          <w:bottom w:color="2230E7" w:space="0" w:sz="4" w:themeColor="accent3" w:themeTint="99" w:val="single"/>
        </w:tcBorders>
      </w:tcPr>
    </w:tblStylePr>
    <w:tblStylePr w:type="seCell">
      <w:tblPr/>
      <w:tcPr>
        <w:tcBorders>
          <w:top w:color="2230E7" w:space="0" w:sz="4" w:themeColor="accent3" w:themeTint="99" w:val="single"/>
        </w:tcBorders>
      </w:tcPr>
    </w:tblStylePr>
    <w:tblStylePr w:type="swCell">
      <w:tblPr/>
      <w:tcPr>
        <w:tcBorders>
          <w:top w:color="2230E7" w:space="0" w:sz="4" w:themeColor="accent3" w:themeTint="99" w:val="single"/>
        </w:tcBorders>
      </w:tcPr>
    </w:tblStylePr>
  </w:style>
  <w:style w:styleId="GridTable5Dark-Accent5" w:type="table">
    <w:name w:val="Grid Table 5 Dark Accent 5"/>
    <w:basedOn w:val="TableNormal"/>
    <w:uiPriority w:val="50"/>
    <w:rsid w:val="009A25EE"/>
    <w:pPr>
      <w:spacing w:after="0" w:line="240" w:lineRule="auto"/>
    </w:pPr>
    <w:rPr>
      <w:color w:themeColor="background1" w:val="FFFFFF"/>
    </w:r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CCCCCC" w:themeFill="accent5"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000000" w:themeFill="accent5"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000000" w:themeFill="accent5"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000000" w:themeFill="accent5"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000000" w:themeFill="accent5" w:val="clear"/>
      </w:tcPr>
    </w:tblStylePr>
    <w:tblStylePr w:type="band1Vert">
      <w:tblPr/>
      <w:tcPr>
        <w:shd w:color="auto" w:fill="999999" w:themeFill="accent5" w:themeFillTint="66" w:val="clear"/>
      </w:tcPr>
    </w:tblStylePr>
    <w:tblStylePr w:type="band1Horz">
      <w:tblPr/>
      <w:tcPr>
        <w:shd w:color="auto" w:fill="999999" w:themeFill="accent5" w:themeFillTint="66" w:val="clear"/>
      </w:tcPr>
    </w:tblStylePr>
  </w:style>
  <w:style w:customStyle="1" w:styleId="AnnexH1EDPB" w:type="paragraph">
    <w:name w:val="Annex H1 EDPB"/>
    <w:basedOn w:val="Heading1"/>
    <w:link w:val="AnnexH1EDPBChar"/>
    <w:uiPriority w:val="2"/>
    <w:qFormat/>
    <w:rsid w:val="00002024"/>
    <w:pPr>
      <w:numPr>
        <w:numId w:val="6"/>
      </w:numPr>
    </w:pPr>
  </w:style>
  <w:style w:styleId="GridTable1Light-Accent4" w:type="table">
    <w:name w:val="Grid Table 1 Light Accent 4"/>
    <w:basedOn w:val="TableNormal"/>
    <w:uiPriority w:val="46"/>
    <w:rsid w:val="00E80001"/>
    <w:pPr>
      <w:spacing w:after="0" w:line="240" w:lineRule="auto"/>
    </w:pPr>
    <w:tblPr>
      <w:tblStyleRowBandSize w:val="1"/>
      <w:tblStyleColBandSize w:val="1"/>
      <w:tblBorders>
        <w:top w:color="BEE6FB" w:space="0" w:sz="4" w:themeColor="accent4" w:themeTint="66" w:val="single"/>
        <w:left w:color="BEE6FB" w:space="0" w:sz="4" w:themeColor="accent4" w:themeTint="66" w:val="single"/>
        <w:bottom w:color="BEE6FB" w:space="0" w:sz="4" w:themeColor="accent4" w:themeTint="66" w:val="single"/>
        <w:right w:color="BEE6FB" w:space="0" w:sz="4" w:themeColor="accent4" w:themeTint="66" w:val="single"/>
        <w:insideH w:color="BEE6FB" w:space="0" w:sz="4" w:themeColor="accent4" w:themeTint="66" w:val="single"/>
        <w:insideV w:color="BEE6FB" w:space="0" w:sz="4" w:themeColor="accent4" w:themeTint="66" w:val="single"/>
      </w:tblBorders>
    </w:tblPr>
    <w:tblStylePr w:type="firstRow">
      <w:rPr>
        <w:b/>
        <w:bCs/>
      </w:rPr>
      <w:tblPr/>
      <w:tcPr>
        <w:tcBorders>
          <w:bottom w:color="9EDAFA" w:space="0" w:sz="12" w:themeColor="accent4" w:themeTint="99" w:val="single"/>
        </w:tcBorders>
      </w:tcPr>
    </w:tblStylePr>
    <w:tblStylePr w:type="lastRow">
      <w:rPr>
        <w:b/>
        <w:bCs/>
      </w:rPr>
      <w:tblPr/>
      <w:tcPr>
        <w:tcBorders>
          <w:top w:color="9EDAFA" w:space="0" w:sz="2" w:themeColor="accent4" w:themeTint="99" w:val="double"/>
        </w:tcBorders>
      </w:tcPr>
    </w:tblStylePr>
    <w:tblStylePr w:type="firstCol">
      <w:rPr>
        <w:b/>
        <w:bCs/>
      </w:rPr>
    </w:tblStylePr>
    <w:tblStylePr w:type="lastCol">
      <w:rPr>
        <w:b/>
        <w:bCs/>
      </w:rPr>
    </w:tblStylePr>
  </w:style>
  <w:style w:customStyle="1" w:styleId="AnnexH1EDPBChar" w:type="character">
    <w:name w:val="Annex H1 EDPB Char"/>
    <w:basedOn w:val="Heading1Char"/>
    <w:link w:val="AnnexH1EDPB"/>
    <w:uiPriority w:val="2"/>
    <w:rsid w:val="00002024"/>
    <w:rPr>
      <w:rFonts w:asciiTheme="majorHAnsi" w:cstheme="majorBidi" w:eastAsiaTheme="majorEastAsia" w:hAnsiTheme="majorHAnsi"/>
      <w:b/>
      <w:color w:themeColor="accent1" w:val="0A105D"/>
      <w:spacing w:val="10"/>
      <w:sz w:val="32"/>
      <w:szCs w:val="64"/>
    </w:rPr>
  </w:style>
  <w:style w:styleId="GridTable1Light" w:type="table">
    <w:name w:val="Grid Table 1 Light"/>
    <w:basedOn w:val="TableNormal"/>
    <w:uiPriority w:val="46"/>
    <w:rsid w:val="00E80001"/>
    <w:pPr>
      <w:spacing w:after="0" w:line="240" w:lineRule="auto"/>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customStyle="1" w:styleId="EDPBtable2" w:type="table">
    <w:name w:val="EDPB table 2"/>
    <w:basedOn w:val="TableNormal"/>
    <w:uiPriority w:val="99"/>
    <w:rsid w:val="00E80001"/>
    <w:pPr>
      <w:spacing w:after="0" w:line="240" w:lineRule="auto"/>
    </w:pPr>
    <w:tblPr/>
  </w:style>
  <w:style w:customStyle="1" w:styleId="EDPBH6tabletitle" w:type="paragraph">
    <w:name w:val="EDPB H6 table title"/>
    <w:basedOn w:val="Heading5"/>
    <w:uiPriority w:val="2"/>
    <w:rsid w:val="008C11D8"/>
  </w:style>
  <w:style w:customStyle="1" w:styleId="EDPBstyle1" w:type="table">
    <w:name w:val="EDPB style 1"/>
    <w:basedOn w:val="TableNormal"/>
    <w:uiPriority w:val="99"/>
    <w:rsid w:val="002E0587"/>
    <w:pPr>
      <w:spacing w:after="0" w:line="240" w:lineRule="auto"/>
    </w:pPr>
    <w:rPr>
      <w:sz w:val="22"/>
    </w:rPr>
    <w:tblPr/>
    <w:tcPr>
      <w:vAlign w:val="center"/>
    </w:tcPr>
    <w:tblStylePr w:type="firstRow">
      <w:pPr>
        <w:jc w:val="left"/>
      </w:pPr>
      <w:rPr>
        <w:rFonts w:ascii="Glory" w:hAnsi="Glory"/>
        <w:b/>
        <w:sz w:val="28"/>
      </w:rPr>
      <w:tblPr/>
      <w:tcPr>
        <w:tcBorders>
          <w:top w:val="nil"/>
          <w:left w:val="nil"/>
          <w:bottom w:color="08149C" w:space="0" w:sz="12" w:themeColor="accent2" w:val="single"/>
          <w:right w:val="nil"/>
          <w:insideH w:val="nil"/>
          <w:insideV w:val="nil"/>
        </w:tcBorders>
        <w:vAlign w:val="center"/>
      </w:tcPr>
    </w:tblStylePr>
  </w:style>
  <w:style w:styleId="CommentSubject" w:type="paragraph">
    <w:name w:val="annotation subject"/>
    <w:basedOn w:val="CommentText"/>
    <w:next w:val="CommentText"/>
    <w:link w:val="CommentSubjectChar"/>
    <w:uiPriority w:val="99"/>
    <w:rsid w:val="00791A24"/>
    <w:pPr>
      <w:spacing w:after="120" w:before="120"/>
      <w:jc w:val="both"/>
    </w:pPr>
    <w:rPr>
      <w:rFonts w:cs="Calibri"/>
      <w:b/>
      <w:bCs/>
      <w:color w:themeColor="text1" w:val="000000"/>
    </w:rPr>
  </w:style>
  <w:style w:customStyle="1" w:styleId="CommentSubjectChar" w:type="character">
    <w:name w:val="Comment Subject Char"/>
    <w:basedOn w:val="CommentTextChar"/>
    <w:link w:val="CommentSubject"/>
    <w:uiPriority w:val="99"/>
    <w:rsid w:val="00791A24"/>
    <w:rPr>
      <w:rFonts w:ascii="Glory" w:cs="Calibri" w:eastAsia="Times New Roman" w:hAnsi="Glory"/>
      <w:b/>
      <w:bCs/>
      <w:color w:themeColor="text1" w:val="000000"/>
      <w:sz w:val="20"/>
      <w:szCs w:val="20"/>
    </w:rPr>
  </w:style>
  <w:style w:customStyle="1" w:styleId="Grilledutableau1" w:type="table">
    <w:name w:val="Grille du tableau1"/>
    <w:basedOn w:val="TableNormal"/>
    <w:next w:val="TableGrid"/>
    <w:uiPriority w:val="59"/>
    <w:rsid w:val="009B0283"/>
    <w:pPr>
      <w:spacing w:after="0" w:line="240" w:lineRule="auto"/>
    </w:pPr>
    <w:rPr>
      <w:rFonts w:ascii="Verdana" w:eastAsiaTheme="minorHAnsi" w:hAnsi="Verdana"/>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fontstyle01" w:type="character">
    <w:name w:val="fontstyle01"/>
    <w:basedOn w:val="DefaultParagraphFont"/>
    <w:rsid w:val="009B0283"/>
    <w:rPr>
      <w:rFonts w:ascii="Times New Roman" w:cs="Times New Roman" w:hAnsi="Times New Roman" w:hint="default"/>
      <w:b w:val="0"/>
      <w:bCs w:val="0"/>
      <w:i w:val="0"/>
      <w:iCs w:val="0"/>
      <w:color w:val="000000"/>
      <w:sz w:val="24"/>
      <w:szCs w:val="24"/>
    </w:rPr>
  </w:style>
  <w:style w:styleId="FollowedHyperlink" w:type="character">
    <w:name w:val="FollowedHyperlink"/>
    <w:basedOn w:val="DefaultParagraphFont"/>
    <w:uiPriority w:val="99"/>
    <w:unhideWhenUsed/>
    <w:rsid w:val="009B0283"/>
    <w:rPr>
      <w:color w:themeColor="followedHyperlink" w:val="5EC2F7"/>
      <w:u w:val="single"/>
    </w:rPr>
  </w:style>
  <w:style w:styleId="Revision" w:type="paragraph">
    <w:name w:val="Revision"/>
    <w:hidden/>
    <w:uiPriority w:val="99"/>
    <w:semiHidden/>
    <w:rsid w:val="009B0283"/>
    <w:pPr>
      <w:spacing w:after="0" w:line="240" w:lineRule="auto"/>
    </w:pPr>
    <w:rPr>
      <w:rFonts w:eastAsiaTheme="minorHAnsi"/>
      <w:sz w:val="22"/>
      <w:szCs w:val="22"/>
      <w:lang w:val="fr-FR"/>
    </w:rPr>
  </w:style>
  <w:style w:styleId="EndnoteText" w:type="paragraph">
    <w:name w:val="endnote text"/>
    <w:basedOn w:val="Normal"/>
    <w:link w:val="EndnoteTextChar"/>
    <w:uiPriority w:val="99"/>
    <w:unhideWhenUsed/>
    <w:rsid w:val="009B0283"/>
    <w:pPr>
      <w:spacing w:after="0" w:before="0" w:line="240" w:lineRule="auto"/>
      <w:jc w:val="left"/>
    </w:pPr>
    <w:rPr>
      <w:rFonts w:asciiTheme="minorHAnsi" w:cstheme="minorBidi" w:eastAsiaTheme="minorHAnsi" w:hAnsiTheme="minorHAnsi"/>
      <w:color w:val="auto"/>
      <w:sz w:val="20"/>
      <w:szCs w:val="20"/>
    </w:rPr>
  </w:style>
  <w:style w:customStyle="1" w:styleId="EndnoteTextChar" w:type="character">
    <w:name w:val="Endnote Text Char"/>
    <w:basedOn w:val="DefaultParagraphFont"/>
    <w:link w:val="EndnoteText"/>
    <w:uiPriority w:val="99"/>
    <w:rsid w:val="009B0283"/>
    <w:rPr>
      <w:rFonts w:eastAsiaTheme="minorHAnsi"/>
      <w:sz w:val="20"/>
      <w:szCs w:val="20"/>
    </w:rPr>
  </w:style>
  <w:style w:styleId="EndnoteReference" w:type="character">
    <w:name w:val="endnote reference"/>
    <w:basedOn w:val="DefaultParagraphFont"/>
    <w:uiPriority w:val="99"/>
    <w:unhideWhenUsed/>
    <w:rsid w:val="009B0283"/>
    <w:rPr>
      <w:vertAlign w:val="superscript"/>
    </w:rPr>
  </w:style>
  <w:style w:customStyle="1" w:styleId="ind" w:type="character">
    <w:name w:val="ind"/>
    <w:basedOn w:val="DefaultParagraphFont"/>
    <w:rsid w:val="009B0283"/>
  </w:style>
  <w:style w:customStyle="1" w:styleId="PreambuleTheEDPB" w:type="paragraph">
    <w:name w:val="Preambule The EDPB ..."/>
    <w:basedOn w:val="Normal"/>
    <w:next w:val="Normal"/>
    <w:qFormat/>
    <w:rsid w:val="009B0283"/>
    <w:pPr>
      <w:spacing w:after="480" w:before="0"/>
    </w:pPr>
    <w:rPr>
      <w:rFonts w:asciiTheme="minorHAnsi" w:cstheme="minorBidi" w:eastAsiaTheme="minorHAnsi" w:hAnsiTheme="minorHAnsi"/>
      <w:b/>
      <w:color w:val="auto"/>
      <w:sz w:val="28"/>
      <w:szCs w:val="28"/>
    </w:rPr>
  </w:style>
  <w:style w:customStyle="1" w:styleId="Preambulehasadopted" w:type="paragraph">
    <w:name w:val="Preambule 'has adopted'"/>
    <w:basedOn w:val="Normal"/>
    <w:next w:val="Normal"/>
    <w:qFormat/>
    <w:rsid w:val="009B0283"/>
    <w:pPr>
      <w:spacing w:after="480" w:before="480"/>
    </w:pPr>
    <w:rPr>
      <w:rFonts w:asciiTheme="minorHAnsi" w:cstheme="minorBidi" w:eastAsiaTheme="minorHAnsi" w:hAnsiTheme="minorHAnsi"/>
      <w:b/>
      <w:caps/>
      <w:color w:val="auto"/>
      <w:sz w:val="24"/>
    </w:rPr>
  </w:style>
  <w:style w:customStyle="1" w:styleId="Annexheading1" w:type="paragraph">
    <w:name w:val="Annex heading 1"/>
    <w:basedOn w:val="Heading1"/>
    <w:link w:val="Annexheading1Char"/>
    <w:qFormat/>
    <w:rsid w:val="009B0283"/>
    <w:pPr>
      <w:keepNext/>
      <w:keepLines/>
      <w:numPr>
        <w:numId w:val="0"/>
      </w:numPr>
      <w:spacing w:after="240" w:line="259" w:lineRule="auto"/>
    </w:pPr>
    <w:rPr>
      <w:b w:val="0"/>
      <w:caps/>
      <w:color w:themeColor="accent1" w:themeShade="BF" w:val="070B45"/>
      <w:szCs w:val="32"/>
    </w:rPr>
  </w:style>
  <w:style w:customStyle="1" w:styleId="Annexheading1Char" w:type="character">
    <w:name w:val="Annex heading 1 Char"/>
    <w:basedOn w:val="Heading1Char"/>
    <w:link w:val="Annexheading1"/>
    <w:rsid w:val="009B0283"/>
    <w:rPr>
      <w:rFonts w:asciiTheme="majorHAnsi" w:cstheme="majorBidi" w:eastAsiaTheme="majorEastAsia" w:hAnsiTheme="majorHAnsi"/>
      <w:b w:val="0"/>
      <w:caps/>
      <w:color w:themeColor="accent1" w:themeShade="BF" w:val="070B45"/>
      <w:spacing w:val="10"/>
      <w:sz w:val="32"/>
      <w:szCs w:val="32"/>
    </w:rPr>
  </w:style>
  <w:style w:customStyle="1" w:styleId="TableGrid1" w:type="table">
    <w:name w:val="Table Grid1"/>
    <w:basedOn w:val="TableNormal"/>
    <w:next w:val="TableGrid"/>
    <w:uiPriority w:val="59"/>
    <w:rsid w:val="009B0283"/>
    <w:pPr>
      <w:spacing w:after="0" w:line="240" w:lineRule="auto"/>
    </w:pPr>
    <w:rPr>
      <w:rFonts w:ascii="Verdana" w:eastAsiaTheme="minorHAnsi" w:hAnsi="Verdana"/>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Annexheading2" w:type="paragraph">
    <w:name w:val="Annex heading 2"/>
    <w:basedOn w:val="Heading2"/>
    <w:next w:val="Normal"/>
    <w:qFormat/>
    <w:rsid w:val="009B0283"/>
    <w:pPr>
      <w:numPr>
        <w:ilvl w:val="0"/>
        <w:numId w:val="0"/>
      </w:numPr>
      <w:spacing w:after="240" w:before="240" w:line="259" w:lineRule="auto"/>
    </w:pPr>
    <w:rPr>
      <w:b w:val="0"/>
      <w:color w:themeColor="accent1" w:themeShade="BF" w:val="070B45"/>
      <w:spacing w:val="0"/>
      <w:sz w:val="26"/>
      <w:szCs w:val="26"/>
    </w:rPr>
  </w:style>
  <w:style w:customStyle="1" w:styleId="UnnumberedEDPBParagraph" w:type="paragraph">
    <w:name w:val="Unnumbered EDPB Paragraph"/>
    <w:basedOn w:val="Normal"/>
    <w:qFormat/>
    <w:rsid w:val="009B0283"/>
    <w:pPr>
      <w:tabs>
        <w:tab w:pos="0" w:val="left"/>
      </w:tabs>
      <w:spacing w:after="160" w:before="0"/>
    </w:pPr>
    <w:rPr>
      <w:rFonts w:asciiTheme="minorHAnsi" w:cstheme="minorBidi" w:eastAsiaTheme="minorHAnsi" w:hAnsiTheme="minorHAnsi"/>
      <w:color w:val="auto"/>
      <w:szCs w:val="22"/>
    </w:rPr>
  </w:style>
  <w:style w:customStyle="1" w:styleId="EditorialNotesEDPB" w:type="paragraph">
    <w:name w:val="EditorialNotesEDPB"/>
    <w:basedOn w:val="Normal"/>
    <w:qFormat/>
    <w:rsid w:val="009B0283"/>
    <w:pPr>
      <w:spacing w:after="160" w:before="0"/>
      <w:jc w:val="left"/>
    </w:pPr>
    <w:rPr>
      <w:rFonts w:asciiTheme="minorHAnsi" w:cstheme="minorBidi" w:eastAsiaTheme="minorEastAsia" w:hAnsiTheme="minorHAnsi"/>
      <w:i/>
      <w:noProof/>
      <w:color w:themeColor="accent2" w:val="08149C"/>
      <w:szCs w:val="22"/>
      <w:lang w:eastAsia="nl-NL"/>
    </w:rPr>
  </w:style>
  <w:style w:customStyle="1" w:styleId="Default" w:type="paragraph">
    <w:name w:val="Default"/>
    <w:rsid w:val="009B0283"/>
    <w:pPr>
      <w:autoSpaceDE w:val="0"/>
      <w:autoSpaceDN w:val="0"/>
      <w:adjustRightInd w:val="0"/>
      <w:spacing w:after="0" w:line="240" w:lineRule="auto"/>
    </w:pPr>
    <w:rPr>
      <w:rFonts w:ascii="Calibri" w:cs="Calibri" w:eastAsiaTheme="minorHAnsi" w:hAnsi="Calibri"/>
      <w:color w:val="000000"/>
      <w:sz w:val="24"/>
      <w:szCs w:val="24"/>
    </w:rPr>
  </w:style>
  <w:style w:customStyle="1" w:styleId="EDBPtextinatable" w:type="paragraph">
    <w:name w:val="EDBP text in a table"/>
    <w:basedOn w:val="Normal"/>
    <w:link w:val="EDBPtextinatableChar"/>
    <w:qFormat/>
    <w:rsid w:val="009B0283"/>
    <w:pPr>
      <w:spacing w:after="0" w:before="0" w:line="276" w:lineRule="auto"/>
    </w:pPr>
    <w:rPr>
      <w:rFonts w:ascii="Calibri" w:cstheme="minorHAnsi" w:eastAsiaTheme="minorHAnsi" w:hAnsi="Calibri"/>
      <w:color w:val="auto"/>
      <w:szCs w:val="22"/>
    </w:rPr>
  </w:style>
  <w:style w:customStyle="1" w:styleId="EDBPtextinatableChar" w:type="character">
    <w:name w:val="EDBP text in a table Char"/>
    <w:basedOn w:val="DefaultParagraphFont"/>
    <w:link w:val="EDBPtextinatable"/>
    <w:rsid w:val="009B0283"/>
    <w:rPr>
      <w:rFonts w:ascii="Calibri" w:cstheme="minorHAnsi" w:eastAsiaTheme="minorHAnsi" w:hAnsi="Calibri"/>
      <w:sz w:val="22"/>
      <w:szCs w:val="22"/>
    </w:rPr>
  </w:style>
  <w:style w:customStyle="1" w:styleId="EditorialHeadingsEDPB" w:type="paragraph">
    <w:name w:val="Editorial Headings EDPB"/>
    <w:basedOn w:val="Normal"/>
    <w:next w:val="Normal"/>
    <w:qFormat/>
    <w:rsid w:val="009B0283"/>
    <w:pPr>
      <w:spacing w:after="160" w:before="0"/>
      <w:jc w:val="left"/>
    </w:pPr>
    <w:rPr>
      <w:rFonts w:asciiTheme="majorHAnsi" w:cstheme="majorHAnsi" w:eastAsiaTheme="minorHAnsi" w:hAnsiTheme="majorHAnsi"/>
      <w:b/>
      <w:color w:themeColor="accent1" w:themeShade="BF" w:val="070B45"/>
      <w:sz w:val="28"/>
      <w:szCs w:val="28"/>
    </w:rPr>
  </w:style>
  <w:style w:styleId="UnresolvedMention" w:type="character">
    <w:name w:val="Unresolved Mention"/>
    <w:basedOn w:val="DefaultParagraphFont"/>
    <w:uiPriority w:val="99"/>
    <w:semiHidden/>
    <w:unhideWhenUsed/>
    <w:rsid w:val="009B0283"/>
    <w:rPr>
      <w:color w:val="605E5C"/>
      <w:shd w:color="auto" w:fill="E1DFDD" w:val="clear"/>
    </w:rPr>
  </w:style>
  <w:style w:customStyle="1" w:styleId="my-2" w:type="paragraph">
    <w:name w:val="my-2"/>
    <w:basedOn w:val="Normal"/>
    <w:rsid w:val="009B0283"/>
    <w:pPr>
      <w:spacing w:after="100" w:afterAutospacing="1" w:before="100" w:beforeAutospacing="1" w:line="240" w:lineRule="auto"/>
      <w:jc w:val="left"/>
    </w:pPr>
    <w:rPr>
      <w:rFonts w:ascii="Times New Roman" w:cs="Times New Roman" w:hAnsi="Times New Roman"/>
      <w:color w:val="auto"/>
      <w:sz w:val="24"/>
      <w:lang w:eastAsia="es-ES" w:val="es-ES"/>
    </w:rPr>
  </w:style>
  <w:style w:styleId="TableGridLight" w:type="table">
    <w:name w:val="Grid Table Light"/>
    <w:basedOn w:val="TableNormal"/>
    <w:uiPriority w:val="40"/>
    <w:rsid w:val="009B0283"/>
    <w:pPr>
      <w:spacing w:after="0" w:line="240" w:lineRule="auto"/>
    </w:pPr>
    <w:tblPr>
      <w:tblBorders>
        <w:top w:color="BFBFBF" w:space="0" w:sz="4" w:themeColor="background1" w:themeShade="BF" w:val="single"/>
        <w:left w:color="BFBFBF" w:space="0" w:sz="4" w:themeColor="background1" w:themeShade="BF" w:val="single"/>
        <w:bottom w:color="BFBFBF" w:space="0" w:sz="4" w:themeColor="background1" w:themeShade="BF" w:val="single"/>
        <w:right w:color="BFBFBF" w:space="0" w:sz="4" w:themeColor="background1" w:themeShade="BF" w:val="single"/>
        <w:insideH w:color="BFBFBF" w:space="0" w:sz="4" w:themeColor="background1" w:themeShade="BF" w:val="single"/>
        <w:insideV w:color="BFBFBF" w:space="0" w:sz="4" w:themeColor="background1" w:themeShade="BF" w:val="single"/>
      </w:tblBorders>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17" Target="numbering.xml" /><Relationship Type="http://schemas.openxmlformats.org/officeDocument/2006/relationships/styles" Id="rId16" Target="styles.xml" /><Relationship Type="http://schemas.openxmlformats.org/officeDocument/2006/relationships/settings" Id="rId15" Target="settings.xml" /><Relationship Type="http://schemas.openxmlformats.org/officeDocument/2006/relationships/webSettings" Id="rId14" Target="webSettings.xml" /><Relationship Type="http://schemas.openxmlformats.org/officeDocument/2006/relationships/fontTable" Id="rId13" Target="fontTable.xml" /><Relationship Type="http://schemas.openxmlformats.org/officeDocument/2006/relationships/theme" Id="rId12" Target="theme/theme1.xml" /><Relationship Type="http://schemas.openxmlformats.org/officeDocument/2006/relationships/footnotes" Id="rId11" Target="footnotes.xml" /><Relationship Type="http://schemas.openxmlformats.org/officeDocument/2006/relationships/comments" Id="rId10" Target="comments.xml" /><Relationship Id="rId8" Target="footer1.xml" Type="http://schemas.openxmlformats.org/officeDocument/2006/relationships/footer" /><Relationship Id="rId9" Target="header1.xml" Type="http://schemas.openxmlformats.org/officeDocument/2006/relationships/header" /></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notes.xml.rels><?xml version="1.0" encoding="UTF-8"?><Relationships xmlns="http://schemas.openxmlformats.org/package/2006/relationships" />
</file>

<file path=word/_rels/header1.xml.rels><?xml version="1.0" encoding="UTF-8" standalone="yes"?><Relationships xmlns="http://schemas.openxmlformats.org/package/2006/relationships"/>
</file>

<file path=word/theme/theme1.xml><?xml version="1.0" encoding="utf-8"?>
<a:theme xmlns:a="http://schemas.openxmlformats.org/drawingml/2006/main" name="Office Theme">
  <a:themeElements>
    <a:clrScheme name="EDPB Palette">
      <a:dk1>
        <a:srgbClr val="000000"/>
      </a:dk1>
      <a:lt1>
        <a:sysClr val="window" lastClr="FFFFFF"/>
      </a:lt1>
      <a:dk2>
        <a:srgbClr val="0A105D"/>
      </a:dk2>
      <a:lt2>
        <a:srgbClr val="E9ECEB"/>
      </a:lt2>
      <a:accent1>
        <a:srgbClr val="0A105D"/>
      </a:accent1>
      <a:accent2>
        <a:srgbClr val="08149C"/>
      </a:accent2>
      <a:accent3>
        <a:srgbClr val="0A105D"/>
      </a:accent3>
      <a:accent4>
        <a:srgbClr val="5EC2F7"/>
      </a:accent4>
      <a:accent5>
        <a:srgbClr val="000000"/>
      </a:accent5>
      <a:accent6>
        <a:srgbClr val="0A105D"/>
      </a:accent6>
      <a:hlink>
        <a:srgbClr val="08149C"/>
      </a:hlink>
      <a:folHlink>
        <a:srgbClr val="5EC2F7"/>
      </a:folHlink>
    </a:clrScheme>
    <a:fontScheme name="EDPB font">
      <a:majorFont>
        <a:latin typeface="Glory"/>
        <a:ea typeface=""/>
        <a:cs typeface=""/>
      </a:majorFont>
      <a:minorFont>
        <a:latin typeface="Glory"/>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19</Pages>
  <Words>4031</Words>
  <Characters>22981</Characters>
  <Application>Microsoft Office Word</Application>
  <DocSecurity>0</DocSecurity>
  <Lines>191</Lines>
  <Paragraphs>53</Paragraphs>
  <ScaleCrop>false</ScaleCrop>
  <Company/>
  <LinksUpToDate>false</LinksUpToDate>
  <CharactersWithSpaces>26959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2026-05-26T07:01:51Z</dcterms:created>
  <dcterms:modified xsi:type="dcterms:W3CDTF">2026-05-26T07:01:51Z</dcterms:modified>
</cp:coreProperties>
</file>

<file path=docProps/custom.xml><?xml version="1.0" encoding="utf-8"?>
<Properties xmlns="http://schemas.openxmlformats.org/officeDocument/2006/custom-properties" xmlns:vt="http://schemas.openxmlformats.org/officeDocument/2006/docPropsVTypes"/>
</file>