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22" w:name="sub-processor-schedule-token"/>
    <w:p>
      <w:pPr>
        <w:pStyle w:val="Heading1"/>
      </w:pPr>
      <w:r>
        <w:t xml:space="preserve">Sub-processor Schedule — Token Issuer (Stablecoin / Asset Rail)</w:t>
      </w:r>
    </w:p>
    <w:p>
      <w:pPr>
        <w:pStyle w:val="FirstParagraph"/>
      </w:pPr>
      <w:r>
        <w:t xml:space="preserve">This schedule governs processing carried out by the operator’s designated</w:t>
      </w:r>
      <w:r>
        <w:t xml:space="preserve"> </w:t>
      </w:r>
      <w:r>
        <w:rPr>
          <w:b/>
          <w:bCs/>
        </w:rPr>
        <w:t xml:space="preserve">Token Issuer</w:t>
      </w:r>
      <w:r>
        <w:t xml:space="preserve"> </w:t>
      </w:r>
      <w:r>
        <w:t xml:space="preserve">(the party issuing the stablecoin or asset rail used for value transfer and holding read-only AML/OFAC reconcile access). It is incorporated by reference into the Shyware Data Processing Agreement (</w:t>
      </w:r>
      <w:r>
        <w:rPr>
          <w:rStyle w:val="VerbatimChar"/>
        </w:rPr>
        <w:t xml:space="preserve">DATA_PROCESSING_AGREEMENT.tex</w:t>
      </w:r>
      <w:r>
        <w:t xml:space="preserve">) and is published at</w:t>
      </w:r>
      <w:r>
        <w:t xml:space="preserve"> </w:t>
      </w:r>
      <w:r>
        <w:rPr>
          <w:rStyle w:val="VerbatimChar"/>
        </w:rPr>
        <w:t xml:space="preserve">https://shyware.fyi/legal/privacy/dpia/dpa/schedule-token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Configuration trigger:</w:t>
      </w:r>
      <w:r>
        <w:t xml:space="preserve"> </w:t>
      </w:r>
      <w:r>
        <w:t xml:space="preserve">This schedule applies only to</w:t>
      </w:r>
      <w:r>
        <w:t xml:space="preserve"> </w:t>
      </w:r>
      <w:r>
        <w:rPr>
          <w:rStyle w:val="VerbatimChar"/>
        </w:rPr>
        <w:t xml:space="preserve">shywire-v1</w:t>
      </w:r>
      <w:r>
        <w:t xml:space="preserve"> </w:t>
      </w:r>
      <w:r>
        <w:t xml:space="preserve">deployments where</w:t>
      </w:r>
      <w:r>
        <w:t xml:space="preserve"> </w:t>
      </w:r>
      <w:r>
        <w:rPr>
          <w:rStyle w:val="VerbatimChar"/>
        </w:rPr>
        <w:t xml:space="preserve">wire.provider</w:t>
      </w:r>
      <w:r>
        <w:t xml:space="preserve"> </w:t>
      </w:r>
      <w:r>
        <w:t xml:space="preserve">is set to a stablecoin or asset-rail issuer (</w:t>
      </w:r>
      <w:r>
        <w:rPr>
          <w:rStyle w:val="VerbatimChar"/>
        </w:rPr>
        <w:t xml:space="preserve">"circle_usdc"</w:t>
      </w:r>
      <w:r>
        <w:t xml:space="preserve"> </w:t>
      </w:r>
      <w:r>
        <w:t xml:space="preserve">or equivalent). Other contract versions are outside this schedule’s scope.</w:t>
      </w:r>
    </w:p>
    <w:bookmarkStart w:id="18" w:name="token-role-definition"/>
    <w:p>
      <w:pPr>
        <w:numPr>
          <w:ilvl w:val="0"/>
          <w:numId w:val="1003"/>
        </w:numPr>
        <w:pStyle w:val="Heading2"/>
      </w:pPr>
      <w:r>
        <w:t xml:space="preserve">Role Definition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Sub-processor role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Token issuer with read-only reconcile authority access for AML/OFAC compliance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Named provider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shyconfig</w:t>
            </w:r>
            <w:r>
              <w:t xml:space="preserve"> </w:t>
            </w:r>
            <w: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wire.provider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wire.issuer_name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Transfer mechanism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processed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Transfer records sufficient for AML/OFAC screening; read-only reconcile access (cannot write canonical state)</w:t>
            </w:r>
          </w:p>
        </w:tc>
      </w:tr>
    </w:tbl>
    <w:bookmarkEnd w:id="18"/>
    <w:bookmarkStart w:id="19" w:name="token-structural-constraints"/>
    <w:p>
      <w:pPr>
        <w:numPr>
          <w:ilvl w:val="0"/>
          <w:numId w:val="1003"/>
        </w:numPr>
        <w:pStyle w:val="Heading2"/>
      </w:pPr>
      <w:r>
        <w:t xml:space="preserve">Structural Constraints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Read-only access only:</w:t>
      </w:r>
      <w:r>
        <w:t xml:space="preserve"> </w:t>
      </w:r>
      <w:r>
        <w:t xml:space="preserve">The token issuer holds</w:t>
      </w:r>
      <w:r>
        <w:t xml:space="preserve"> </w:t>
      </w:r>
      <w:r>
        <w:rPr>
          <w:rStyle w:val="VerbatimChar"/>
        </w:rPr>
        <w:t xml:space="preserve">reconcile_authority: issuer_read_only</w:t>
      </w:r>
      <w:r>
        <w:t xml:space="preserve">. It cannot write to canonical state, cannot produce valid rescission transactions, and cannot satisfy the dual co-authorization requirement unilaterally.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Independence from eligibility authority:</w:t>
      </w:r>
      <w:r>
        <w:t xml:space="preserve"> </w:t>
      </w:r>
      <w:r>
        <w:t xml:space="preserve">The token issuer is structurally distinct from the enrolling bank or financial institution acting as the eligibility/enrollment authority. These are separate roles and must be held by separate parties in a four-party count-match deployment.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AML/OFAC access is operator-delegated:</w:t>
      </w:r>
      <w:r>
        <w:t xml:space="preserve"> </w:t>
      </w:r>
      <w:r>
        <w:t xml:space="preserve">The operator remains the GDPR controller and retains responsibility for data subject rights workflows. The token issuer’s AML/OFAC screening is a regulatory compliance function delegated by the operator; the operator is responsible for ensuring it complies with applicable data protection law.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identity-payload join:</w:t>
      </w:r>
      <w:r>
        <w:t xml:space="preserve"> </w:t>
      </w:r>
      <w:r>
        <w:t xml:space="preserve">The token issuer receives transfer records for compliance screening. It does not receive the participant identity hash from List 2 and cannot construct the identity-payload join from the records provided.</w:t>
      </w:r>
    </w:p>
    <w:bookmarkEnd w:id="19"/>
    <w:bookmarkStart w:id="20" w:name="token-legal-basis"/>
    <w:p>
      <w:pPr>
        <w:numPr>
          <w:ilvl w:val="0"/>
          <w:numId w:val="1003"/>
        </w:numPr>
        <w:pStyle w:val="Heading2"/>
      </w:pPr>
      <w:r>
        <w:t xml:space="preserve">Legal Basis for AML/OFAC Data</w:t>
      </w:r>
    </w:p>
    <w:p>
      <w:pPr>
        <w:pStyle w:val="FirstParagraph"/>
      </w:pPr>
      <w:r>
        <w:t xml:space="preserve">Transfer records disclosed to the token issuer for AML/OFAC screening may be processed under Art. 6(1)(c) (legal obligation) where applicable financial-services law requires screening. The operator must document the applicable legal obligation and jurisdiction in the deployment Records of Processing. Where Art. 6(1)(c) does not apply, another Art. 6 basis must be identified.</w:t>
      </w:r>
    </w:p>
    <w:bookmarkEnd w:id="20"/>
    <w:bookmarkStart w:id="21" w:name="token-operator-obligations"/>
    <w:p>
      <w:pPr>
        <w:numPr>
          <w:ilvl w:val="0"/>
          <w:numId w:val="1003"/>
        </w:numPr>
        <w:pStyle w:val="Heading2"/>
      </w:pPr>
      <w:r>
        <w:t xml:space="preserve">Operator Obligations</w:t>
      </w:r>
    </w:p>
    <w:p>
      <w:pPr>
        <w:numPr>
          <w:ilvl w:val="0"/>
          <w:numId w:val="1002"/>
        </w:numPr>
      </w:pPr>
      <w:r>
        <w:t xml:space="preserve">Execute signed DPA with the token issuer before processing</w:t>
      </w:r>
    </w:p>
    <w:p>
      <w:pPr>
        <w:numPr>
          <w:ilvl w:val="0"/>
          <w:numId w:val="1002"/>
        </w:numPr>
      </w:pPr>
      <w:r>
        <w:t xml:space="preserve">Document the provider, location, and transfer mechanism in the Records of Processing (</w:t>
      </w:r>
      <w:r>
        <w:rPr>
          <w:rStyle w:val="VerbatimChar"/>
        </w:rPr>
        <w:t xml:space="preserve">generate-rop.mjs</w:t>
      </w:r>
      <w:r>
        <w:t xml:space="preserve">)</w:t>
      </w:r>
    </w:p>
    <w:p>
      <w:pPr>
        <w:numPr>
          <w:ilvl w:val="0"/>
          <w:numId w:val="1002"/>
        </w:numPr>
      </w:pPr>
      <w:r>
        <w:t xml:space="preserve">Confirm SCCs or adequacy for any non-EEA token issuer</w:t>
      </w:r>
    </w:p>
    <w:p>
      <w:pPr>
        <w:numPr>
          <w:ilvl w:val="0"/>
          <w:numId w:val="1002"/>
        </w:numPr>
      </w:pPr>
      <w:r>
        <w:t xml:space="preserve">Document the Art. 6 legal basis for AML/OFAC screening in the deployment DPIA</w:t>
      </w:r>
    </w:p>
    <w:p>
      <w:pPr>
        <w:numPr>
          <w:ilvl w:val="0"/>
          <w:numId w:val="1002"/>
        </w:numPr>
      </w:pPr>
      <w:r>
        <w:t xml:space="preserve">Ensure the eligibility/enrollment authority and the token issuer are distinct parties with distinct keys</w:t>
      </w:r>
    </w:p>
    <w:p>
      <w:pPr>
        <w:numPr>
          <w:ilvl w:val="0"/>
          <w:numId w:val="1002"/>
        </w:numPr>
      </w:pPr>
      <w:r>
        <w:t xml:space="preserve">Notify Shyware of provider changes at least 30 days in advance</w:t>
      </w:r>
    </w:p>
    <w:p>
      <w:pPr>
        <w:pStyle w:val="FirstParagraph"/>
      </w:pPr>
      <w:r>
        <w:t xml:space="preserve">This schedule is incorporated by reference into the Shyware Data Processing Agreement and is published at</w:t>
      </w:r>
      <w:r>
        <w:t xml:space="preserve"> </w:t>
      </w:r>
      <w:r>
        <w:rPr>
          <w:rStyle w:val="VerbatimChar"/>
        </w:rPr>
        <w:t xml:space="preserve">https://shyware.fyi/legal/privacy/dpia/dpa/schedule-token</w:t>
      </w:r>
      <w:r>
        <w:t xml:space="preserve">. Swap by updating</w:t>
      </w:r>
      <w:r>
        <w:t xml:space="preserve"> </w:t>
      </w:r>
      <w:r>
        <w:rPr>
          <w:rStyle w:val="VerbatimChar"/>
        </w:rPr>
        <w:t xml:space="preserve">wire.provider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wire.issuer_name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shyconfig.json</w:t>
      </w:r>
      <w:r>
        <w:t xml:space="preserve"> </w:t>
      </w:r>
      <w:r>
        <w:t xml:space="preserve">and executing a new DPA before transitioning the asset rail.</w:t>
      </w:r>
    </w:p>
    <w:bookmarkEnd w:id="21"/>
    <w:bookmarkEnd w:id="22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Sub-processor Schedule: Token Issuer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2026-05-26T07:01:50Z</dcterms:created>
  <dcterms:modified xsi:type="dcterms:W3CDTF">2026-05-26T07:01:50Z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