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4" w:name="sub-processor-schedule-verification"/>
    <w:p>
      <w:pPr>
        <w:pStyle w:val="Heading1"/>
      </w:pPr>
      <w:r>
        <w:t xml:space="preserve">Sub-processor Schedule — Identity Verification Provider</w:t>
      </w:r>
    </w:p>
    <w:p>
      <w:pPr>
        <w:pStyle w:val="FirstParagraph"/>
      </w:pPr>
      <w:r>
        <w:t xml:space="preserve">This schedule governs processing carried out by the operator’s designated</w:t>
      </w:r>
      <w:r>
        <w:t xml:space="preserve"> </w:t>
      </w:r>
      <w:r>
        <w:rPr>
          <w:b/>
          <w:bCs/>
        </w:rPr>
        <w:t xml:space="preserve">Identity Verification Provider</w:t>
      </w:r>
      <w:r>
        <w:t xml:space="preserve"> </w:t>
      </w:r>
      <w:r>
        <w:t xml:space="preserve">(the party fulfilling the IDV/KYC and biometric re-derivation role). It is incorporated by reference into the Shyware Data Processing Agreement (</w:t>
      </w:r>
      <w:r>
        <w:rPr>
          <w:rStyle w:val="VerbatimChar"/>
        </w:rPr>
        <w:t xml:space="preserve">DATA_PROCESSING_AGREEMENT.tex</w:t>
      </w:r>
      <w:r>
        <w:t xml:space="preserve">)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https://shyware.fyi/legal/privacy/dpia/dpa/schedule-verification</w:t>
      </w:r>
      <w:r>
        <w:t xml:space="preserve">.</w:t>
      </w:r>
    </w:p>
    <w:p>
      <w:pPr>
        <w:pStyle w:val="BodyText"/>
      </w:pPr>
      <w:r>
        <w:t xml:space="preserve">The operator must name their designated verification provider in their deployment configuration and obtain a signed DPA with that provider before processing personal data.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This schedule applies when the operator’s</w:t>
      </w:r>
      <w:r>
        <w:t xml:space="preserve"> </w:t>
      </w:r>
      <w:r>
        <w:rPr>
          <w:rStyle w:val="VerbatimChar"/>
        </w:rPr>
        <w:t xml:space="preserve">shyconfig</w:t>
      </w:r>
      <w:r>
        <w:t xml:space="preserve"> </w:t>
      </w:r>
      <w:r>
        <w:t xml:space="preserve">manifest sets</w:t>
      </w:r>
      <w:r>
        <w:t xml:space="preserve"> </w:t>
      </w:r>
      <w:r>
        <w:rPr>
          <w:rStyle w:val="VerbatimChar"/>
        </w:rPr>
        <w:t xml:space="preserve">identity.provider</w:t>
      </w:r>
      <w:r>
        <w:t xml:space="preserve"> </w:t>
      </w:r>
      <w:r>
        <w:t xml:space="preserve">to any biometric or KYC-based provider (</w:t>
      </w:r>
      <w:r>
        <w:rPr>
          <w:rStyle w:val="VerbatimChar"/>
        </w:rPr>
        <w:t xml:space="preserve">"didit"</w:t>
      </w:r>
      <w:r>
        <w:t xml:space="preserve"> </w:t>
      </w:r>
      <w:r>
        <w:t xml:space="preserve">or equivalent). Wallet and manual-demo identity modes are outside this schedule’s scope.</w:t>
      </w:r>
    </w:p>
    <w:bookmarkStart w:id="18" w:name="verification-role-definition"/>
    <w:p>
      <w:pPr>
        <w:numPr>
          <w:ilvl w:val="0"/>
          <w:numId w:val="1005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Sub-processor role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 (IDV / KYC / biometric re-derivation)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Named provider (operator completes)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Contact for data protection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mechanism (if outside EEA)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</w:tbl>
    <w:bookmarkEnd w:id="18"/>
    <w:bookmarkStart w:id="19" w:name="verification-data-processed"/>
    <w:p>
      <w:pPr>
        <w:numPr>
          <w:ilvl w:val="0"/>
          <w:numId w:val="1005"/>
        </w:numPr>
        <w:pStyle w:val="Heading2"/>
      </w:pPr>
      <w:r>
        <w:t xml:space="preserve">Data Processed</w:t>
      </w:r>
    </w:p>
    <w:p>
      <w:pPr>
        <w:pStyle w:val="FirstParagraph"/>
      </w:pPr>
      <w:r>
        <w:t xml:space="preserve">The verification provider processes the following categories of personal data on behalf of the operator:</w:t>
      </w:r>
    </w:p>
    <w:p>
      <w:pPr>
        <w:numPr>
          <w:ilvl w:val="0"/>
          <w:numId w:val="1001"/>
        </w:numPr>
      </w:pPr>
      <w:r>
        <w:t xml:space="preserve">Biometric enrollment data (facial scan, liveness check, or equivalent) — used to establish a stable person identity</w:t>
      </w:r>
    </w:p>
    <w:p>
      <w:pPr>
        <w:numPr>
          <w:ilvl w:val="0"/>
          <w:numId w:val="1001"/>
        </w:numPr>
      </w:pPr>
      <w:r>
        <w:t xml:space="preserve">Government-issued identity document data — used for KYC eligibility determination</w:t>
      </w:r>
    </w:p>
    <w:p>
      <w:pPr>
        <w:numPr>
          <w:ilvl w:val="0"/>
          <w:numId w:val="1001"/>
        </w:numPr>
      </w:pPr>
      <w:r>
        <w:t xml:space="preserve">Participant public key (</w:t>
      </w:r>
      <w:r>
        <w:rPr>
          <w:rStyle w:val="VerbatimChar"/>
        </w:rPr>
        <w:t xml:space="preserve">voter_pub_key</w:t>
      </w:r>
      <w:r>
        <w:t xml:space="preserve"> </w:t>
      </w:r>
      <w:r>
        <w:t xml:space="preserve">or equivalent) — attested by the provider for oracle-forgery prevention; the provider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receive the per-scoping private key (</w:t>
      </w:r>
      <w:r>
        <w:rPr>
          <w:rStyle w:val="VerbatimChar"/>
        </w:rPr>
        <w:t xml:space="preserve">sk_v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Attestation logs — signing records produced by the provider during identity attestation workflows</w:t>
      </w:r>
    </w:p>
    <w:bookmarkEnd w:id="19"/>
    <w:bookmarkStart w:id="20" w:name="verification-special-category"/>
    <w:p>
      <w:pPr>
        <w:numPr>
          <w:ilvl w:val="0"/>
          <w:numId w:val="1005"/>
        </w:numPr>
        <w:pStyle w:val="Heading2"/>
      </w:pPr>
      <w:r>
        <w:t xml:space="preserve">Special Category Obligations (Art. 9)</w:t>
      </w:r>
    </w:p>
    <w:p>
      <w:pPr>
        <w:pStyle w:val="FirstParagraph"/>
      </w:pPr>
      <w:r>
        <w:t xml:space="preserve">Biometric processing falls within the special category definition of Art. 9(1) GDPR. Before processing:</w:t>
      </w:r>
    </w:p>
    <w:p>
      <w:pPr>
        <w:numPr>
          <w:ilvl w:val="0"/>
          <w:numId w:val="1002"/>
        </w:numPr>
      </w:pPr>
      <w:r>
        <w:t xml:space="preserve">The operator must identify and document an Art. 9 legal basis (explicit consent, vital interests, or applicable member-state derogation) in the deployment DPIA</w:t>
      </w:r>
    </w:p>
    <w:p>
      <w:pPr>
        <w:numPr>
          <w:ilvl w:val="0"/>
          <w:numId w:val="1002"/>
        </w:numPr>
      </w:pPr>
      <w:r>
        <w:t xml:space="preserve">Explicit written consent must be obtained from each data subject before biometric enrollment</w:t>
      </w:r>
    </w:p>
    <w:p>
      <w:pPr>
        <w:numPr>
          <w:ilvl w:val="0"/>
          <w:numId w:val="1002"/>
        </w:numPr>
      </w:pPr>
      <w:r>
        <w:t xml:space="preserve">Some jurisdictions prohibit biometric processing entirely; the operator must confirm lawfulness per deployment jurisdiction before production</w:t>
      </w:r>
    </w:p>
    <w:p>
      <w:pPr>
        <w:numPr>
          <w:ilvl w:val="0"/>
          <w:numId w:val="1002"/>
        </w:numPr>
      </w:pPr>
      <w:r>
        <w:t xml:space="preserve">A data protection impact assessment covering biometric processing must be completed and filed</w:t>
      </w:r>
    </w:p>
    <w:bookmarkEnd w:id="20"/>
    <w:bookmarkStart w:id="21" w:name="verification-structural-constraints"/>
    <w:p>
      <w:pPr>
        <w:numPr>
          <w:ilvl w:val="0"/>
          <w:numId w:val="1005"/>
        </w:numPr>
        <w:pStyle w:val="Heading2"/>
      </w:pPr>
      <w:r>
        <w:t xml:space="preserve">Structural Constraints</w:t>
      </w:r>
    </w:p>
    <w:p>
      <w:pPr>
        <w:pStyle w:val="FirstParagraph"/>
      </w:pPr>
      <w:r>
        <w:t xml:space="preserve">The verification provider’s data access is structurally limited by the Shyware protocol: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Oracle-forgery prevention:</w:t>
      </w:r>
      <w:r>
        <w:t xml:space="preserve"> </w:t>
      </w:r>
      <w:r>
        <w:t xml:space="preserve">The provider attests the participant’s public key but never holds the per-scoping private key. The provider therefore cannot forge a submission on behalf of a participant. This property is structural, not policy.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Participation inference:</w:t>
      </w:r>
      <w:r>
        <w:t xml:space="preserve"> </w:t>
      </w:r>
      <w:r>
        <w:t xml:space="preserve">In the baseline identity tier, the provider can infer participation from its signing records. In the ZK nullifier tier, the provider signs a hash commitment and cannot derive the on-chain nullifier. The operator must configure the appropriate tier for the deployment’s threat model.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canonical state access:</w:t>
      </w:r>
      <w:r>
        <w:t xml:space="preserve"> </w:t>
      </w:r>
      <w:r>
        <w:t xml:space="preserve">The provider does not write to or read from the canonical two-list ledger. It holds no submission payloads and no off-chain linkage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cross-operator correlation:</w:t>
      </w:r>
      <w:r>
        <w:t xml:space="preserve"> </w:t>
      </w:r>
      <w:r>
        <w:t xml:space="preserve">The provider must not correlate attestation logs across deployment operators without the operator’s documented instruction.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Independent auditable trail:</w:t>
      </w:r>
      <w:r>
        <w:t xml:space="preserve"> </w:t>
      </w:r>
      <w:r>
        <w:t xml:space="preserve">Attestation logs constitute one leg of the three-authority collusion detection surface. The provider must maintain logs sufficient for independent audit of attestation fraud.</w:t>
      </w:r>
    </w:p>
    <w:bookmarkEnd w:id="21"/>
    <w:bookmarkStart w:id="22" w:name="verification-operator-obligations"/>
    <w:p>
      <w:pPr>
        <w:numPr>
          <w:ilvl w:val="0"/>
          <w:numId w:val="1005"/>
        </w:numPr>
        <w:pStyle w:val="Heading2"/>
      </w:pPr>
      <w:r>
        <w:t xml:space="preserve">Operator Obligations</w:t>
      </w:r>
    </w:p>
    <w:p>
      <w:pPr>
        <w:numPr>
          <w:ilvl w:val="0"/>
          <w:numId w:val="1004"/>
        </w:numPr>
      </w:pPr>
      <w:r>
        <w:t xml:space="preserve">Execute a signed DPA with the verification provider before processing any personal data</w:t>
      </w:r>
    </w:p>
    <w:p>
      <w:pPr>
        <w:numPr>
          <w:ilvl w:val="0"/>
          <w:numId w:val="1004"/>
        </w:numPr>
      </w:pPr>
      <w:r>
        <w:t xml:space="preserve">Document the provider’s name, location, and transfer mechanism in the deployment Records of Processing (</w:t>
      </w:r>
      <w:r>
        <w:rPr>
          <w:rStyle w:val="VerbatimChar"/>
        </w:rPr>
        <w:t xml:space="preserve">generate-rop.mjs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retention.idv_records_days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consistent with the provider’s DPA terms and applicable law</w:t>
      </w:r>
    </w:p>
    <w:p>
      <w:pPr>
        <w:numPr>
          <w:ilvl w:val="0"/>
          <w:numId w:val="1004"/>
        </w:numPr>
      </w:pPr>
      <w:r>
        <w:t xml:space="preserve">Ensure the provider’s DPA imposes obligations equivalent to those in the Shyware DPA on the provider</w:t>
      </w:r>
    </w:p>
    <w:p>
      <w:pPr>
        <w:numPr>
          <w:ilvl w:val="0"/>
          <w:numId w:val="1004"/>
        </w:numPr>
      </w:pPr>
      <w:r>
        <w:t xml:space="preserve">Notify Shyware of any change of verification provider at least 30 days in advance</w:t>
      </w:r>
    </w:p>
    <w:bookmarkEnd w:id="22"/>
    <w:bookmarkStart w:id="23" w:name="verification-audit-retention"/>
    <w:p>
      <w:pPr>
        <w:numPr>
          <w:ilvl w:val="0"/>
          <w:numId w:val="1005"/>
        </w:numPr>
        <w:pStyle w:val="Heading2"/>
      </w:pPr>
      <w:r>
        <w:t xml:space="preserve">Audit and Retention</w:t>
      </w:r>
    </w:p>
    <w:p>
      <w:pPr>
        <w:pStyle w:val="FirstParagraph"/>
      </w:pPr>
      <w:r>
        <w:t xml:space="preserve">Attestation records must be retained for a period sufficient to support: data subject access requests (Art. 15), erasure requests (Art. 17 — note that biometric enrollment data erasure terminates recovery capability), audit proceedings, and legal process. The operator must agree a specific retention period with the verification provider and document it in the Records of Processing.</w:t>
      </w:r>
    </w:p>
    <w:p>
      <w:pPr>
        <w:pStyle w:val="BodyText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https://shyware.fyi/legal/privacy/dpia/dpa/schedule-verification</w:t>
      </w:r>
      <w:r>
        <w:t xml:space="preserve">. Swap the named provider by updating the</w:t>
      </w:r>
      <w:r>
        <w:t xml:space="preserve"> </w:t>
      </w:r>
      <w:r>
        <w:rPr>
          <w:rStyle w:val="VerbatimChar"/>
        </w:rPr>
        <w:t xml:space="preserve">identity.provider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and executing a new DPA with the replacement provider before transitioning production data.</w:t>
      </w:r>
    </w:p>
    <w:bookmarkEnd w:id="23"/>
    <w:bookmarkEnd w:id="24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Identity Verification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2026-05-26T07:01:49Z</dcterms:created>
  <dcterms:modified xsi:type="dcterms:W3CDTF">2026-05-26T07:01:49Z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