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image1.png" ContentType="image/png"/>
  <Override PartName="/word/media/image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r="http://schemas.openxmlformats.org/officeDocument/2006/relationships" xmlns:w="http://schemas.openxmlformats.org/wordprocessingml/2006/main">
  <w:body>
    <w:p>
      <w:pPr>
        <w:pStyle w:val="FirstParagraph"/>
      </w:pPr>
      <w:r>
        <w:t xml:space="preserve">DPIA — Health Record Vault (shystore-v1 EHR Deployment)</w:t>
      </w:r>
    </w:p>
    <w:p>
      <w:pPr>
        <w:pStyle w:val="BodyText"/>
      </w:pPr>
      <w:r>
        <w:t xml:space="preserve">This DPIA covers operator deployments of the shystore-v1 variant involving EHR health data under Art. 9 GDPR and HIPAA. Operators must supplement this document with deployment-specific controller information, consent UI evidence, and signed BAAs before production.</w:t>
      </w:r>
    </w:p>
    <w:bookmarkStart w:id="22" w:name="ehr-extension"/>
    <w:p>
      <w:pPr>
        <w:pStyle w:val="Heading2"/>
      </w:pPr>
      <w:r>
        <w:t xml:space="preserve">EHR EXTENSION — Art. 9 / HIPAA POSTURE</w:t>
      </w:r>
    </w:p>
    <w:p>
      <w:pPr>
        <w:pStyle w:val="FirstParagraph"/>
      </w:pPr>
      <w:r>
        <w:t xml:space="preserve">This section applies when</w:t>
      </w:r>
      <w:r>
        <w:t xml:space="preserve"> </w:t>
      </w:r>
      <w:r>
        <w:rPr>
          <w:rStyle w:val="VerbatimChar"/>
        </w:rPr>
        <w:t xml:space="preserve">shyconfig.store.secret_categories</w:t>
      </w:r>
      <w:r>
        <w:t xml:space="preserve"> </w:t>
      </w:r>
      <w:r>
        <w:t xml:space="preserve">includes</w:t>
      </w:r>
      <w:r>
        <w:t xml:space="preserve"> </w:t>
      </w:r>
      <w:r>
        <w:rPr>
          <w:rStyle w:val="VerbatimChar"/>
        </w:rPr>
        <w:t xml:space="preserve">health_record</w:t>
      </w:r>
      <w:r>
        <w:t xml:space="preserve"> </w:t>
      </w:r>
      <w:r>
        <w:t xml:space="preserve">or</w:t>
      </w:r>
      <w:r>
        <w:t xml:space="preserve"> </w:t>
      </w:r>
      <w:r>
        <w:rPr>
          <w:rStyle w:val="VerbatimChar"/>
        </w:rPr>
        <w:t xml:space="preserve">health_record_era</w:t>
      </w:r>
      <w:r>
        <w:t xml:space="preserve"> </w:t>
      </w:r>
      <w:r>
        <w:t xml:space="preserve">and</w:t>
      </w:r>
      <w:r>
        <w:t xml:space="preserve"> </w:t>
      </w:r>
      <w:r>
        <w:rPr>
          <w:rStyle w:val="VerbatimChar"/>
        </w:rPr>
        <w:t xml:space="preserve">shyconfig.store.ehr_provider</w:t>
      </w:r>
      <w:r>
        <w:t xml:space="preserve"> </w:t>
      </w:r>
      <w:r>
        <w:t xml:space="preserve">is set (e.g. </w:t>
      </w:r>
      <w:r>
        <w:rPr>
          <w:rStyle w:val="VerbatimChar"/>
        </w:rPr>
        <w:t xml:space="preserve">epic</w:t>
      </w:r>
      <w:r>
        <w:t xml:space="preserve">). It supplements the generic confidential-store DPIA above.</w:t>
      </w:r>
    </w:p>
    <w:bookmarkStart w:id="18" w:name="ehr-processing-surface"/>
    <w:p>
      <w:pPr>
        <w:pStyle w:val="Heading3"/>
      </w:pPr>
      <w:r>
        <w:t xml:space="preserve">Processing Surface — EHR Deployments</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3650"/>
        <w:gridCol w:w="5710"/>
      </w:tblGrid>
      <w:tr>
        <w:trPr>
          <w:tblHeader w:val="on"/>
        </w:trPr>
        <w:tc>
          <w:tcPr>
            <w:tcW w:type="pct" w:w="19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Surface</w:t>
            </w:r>
          </w:p>
        </w:tc>
        <w:tc>
          <w:tcPr>
            <w:tcW w:type="pct" w:w="30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Description</w:t>
            </w:r>
          </w:p>
        </w:tc>
      </w:tr>
      <w:tr>
        <w:tc>
          <w:tcPr>
            <w:tcW w:type="pct" w:w="1950"/>
            <w:tcBorders>
              <w:top w:val="single" w:sz="8" w:space="0" w:color="000000"/>
              <w:left w:val="single" w:sz="8" w:space="0" w:color="000000"/>
              <w:bottom w:val="single" w:sz="8" w:space="0" w:color="000000"/>
              <w:right w:val="single" w:sz="8" w:space="0" w:color="000000"/>
            </w:tcBorders>
          </w:tcPr>
          <w:p>
            <w:pPr>
              <w:pStyle w:val="Compact"/>
              <w:jc w:val="left"/>
            </w:pPr>
            <w:r>
              <w:rPr>
                <w:rStyle w:val="VerbatimChar"/>
              </w:rPr>
              <w:t xml:space="preserve">[operator-ehr-console]</w:t>
            </w:r>
          </w:p>
        </w:tc>
        <w:tc>
          <w:tcPr>
            <w:tcW w:type="pct" w:w="3050"/>
            <w:tcBorders>
              <w:top w:val="single" w:sz="8" w:space="0" w:color="000000"/>
              <w:left w:val="single" w:sz="8" w:space="0" w:color="000000"/>
              <w:bottom w:val="single" w:sz="8" w:space="0" w:color="000000"/>
              <w:right w:val="single" w:sz="8" w:space="0" w:color="000000"/>
            </w:tcBorders>
          </w:tcPr>
          <w:p>
            <w:pPr>
              <w:pStyle w:val="Compact"/>
              <w:jc w:val="left"/>
            </w:pPr>
            <w:r>
              <w:t xml:space="preserve">Patient-facing EHR vault console. Patient imports FHIR health records (Observation, Condition, MedicationRequest, etc.) from Epic/Cerner via SMART on FHIR OAuth; records are encrypted client-side before storage. Patient grants per-resource-type selective disclosure to authorized recipients. Art. 9(2)(a) explicit consent recorded per resource type before FHIR redirect.</w:t>
            </w:r>
          </w:p>
        </w:tc>
      </w:tr>
      <w:tr>
        <w:tc>
          <w:tcPr>
            <w:tcW w:type="pct" w:w="1950"/>
            <w:tcBorders>
              <w:top w:val="single" w:sz="8" w:space="0" w:color="000000"/>
              <w:left w:val="single" w:sz="8" w:space="0" w:color="000000"/>
              <w:bottom w:val="single" w:sz="8" w:space="0" w:color="000000"/>
              <w:right w:val="single" w:sz="8" w:space="0" w:color="000000"/>
            </w:tcBorders>
          </w:tcPr>
          <w:p>
            <w:pPr>
              <w:pStyle w:val="Compact"/>
              <w:jc w:val="left"/>
            </w:pPr>
            <w:r>
              <w:rPr>
                <w:rStyle w:val="VerbatimChar"/>
              </w:rPr>
              <w:t xml:space="preserve">[operator-authenticator]</w:t>
            </w:r>
          </w:p>
        </w:tc>
        <w:tc>
          <w:tcPr>
            <w:tcW w:type="pct" w:w="3050"/>
            <w:tcBorders>
              <w:top w:val="single" w:sz="8" w:space="0" w:color="000000"/>
              <w:left w:val="single" w:sz="8" w:space="0" w:color="000000"/>
              <w:bottom w:val="single" w:sz="8" w:space="0" w:color="000000"/>
              <w:right w:val="single" w:sz="8" w:space="0" w:color="000000"/>
            </w:tcBorders>
          </w:tcPr>
          <w:p>
            <w:pPr>
              <w:pStyle w:val="Compact"/>
              <w:jc w:val="left"/>
            </w:pPr>
            <w:r>
              <w:t xml:space="preserve">TOTP/FIDO2 seed vault (optional surface). Stores</w:t>
            </w:r>
            <w:r>
              <w:t xml:space="preserve"> </w:t>
            </w:r>
            <w:r>
              <w:rPr>
                <w:rStyle w:val="VerbatimChar"/>
              </w:rPr>
              <w:t xml:space="preserve">auth_seed_totp</w:t>
            </w:r>
            <w:r>
              <w:t xml:space="preserve"> </w:t>
            </w:r>
            <w:r>
              <w:t xml:space="preserve">and</w:t>
            </w:r>
            <w:r>
              <w:t xml:space="preserve"> </w:t>
            </w:r>
            <w:r>
              <w:rPr>
                <w:rStyle w:val="VerbatimChar"/>
              </w:rPr>
              <w:t xml:space="preserve">auth_seed_fido2</w:t>
            </w:r>
            <w:r>
              <w:t xml:space="preserve"> </w:t>
            </w:r>
            <w:r>
              <w:t xml:space="preserve">categories. Generates live TOTP codes on-device (Web Crypto HMAC-SHA1). Structural non-enumeration: no operator can query which services a user protects. See TOTP Extension below for full analysis.</w:t>
            </w:r>
          </w:p>
        </w:tc>
      </w:tr>
      <w:tr>
        <w:tc>
          <w:tcPr>
            <w:tcW w:type="pct" w:w="1950"/>
            <w:tcBorders>
              <w:top w:val="single" w:sz="8" w:space="0" w:color="000000"/>
              <w:left w:val="single" w:sz="8" w:space="0" w:color="000000"/>
              <w:bottom w:val="single" w:sz="8" w:space="0" w:color="000000"/>
              <w:right w:val="single" w:sz="8" w:space="0" w:color="000000"/>
            </w:tcBorders>
          </w:tcPr>
          <w:p>
            <w:pPr>
              <w:pStyle w:val="Compact"/>
              <w:jc w:val="left"/>
            </w:pPr>
            <w:r>
              <w:rPr>
                <w:rStyle w:val="VerbatimChar"/>
              </w:rPr>
              <w:t xml:space="preserve">[operator-splash]</w:t>
            </w:r>
          </w:p>
        </w:tc>
        <w:tc>
          <w:tcPr>
            <w:tcW w:type="pct" w:w="3050"/>
            <w:tcBorders>
              <w:top w:val="single" w:sz="8" w:space="0" w:color="000000"/>
              <w:left w:val="single" w:sz="8" w:space="0" w:color="000000"/>
              <w:bottom w:val="single" w:sz="8" w:space="0" w:color="000000"/>
              <w:right w:val="single" w:sz="8" w:space="0" w:color="000000"/>
            </w:tcBorders>
          </w:tcPr>
          <w:p>
            <w:pPr>
              <w:pStyle w:val="Compact"/>
              <w:jc w:val="left"/>
            </w:pPr>
            <w:r>
              <w:t xml:space="preserve">Public splash only. No health data. No TOTP seeds.</w:t>
            </w:r>
          </w:p>
        </w:tc>
      </w:tr>
    </w:tbl>
    <w:bookmarkEnd w:id="18"/>
    <w:bookmarkStart w:id="19" w:name="ehr-art9"/>
    <w:p>
      <w:pPr>
        <w:pStyle w:val="Heading3"/>
      </w:pPr>
      <w:r>
        <w:t xml:space="preserve">Art. 9 Lawful Basis — Special Category Health Data</w:t>
      </w:r>
    </w:p>
    <w:p>
      <w:pPr>
        <w:pStyle w:val="FirstParagraph"/>
      </w:pPr>
      <w:r>
        <w:t xml:space="preserve">Health records are special-category personal data under GDPR Art. 9(1). Processing requires an explicit exemption under Art. 9(2). The intended basis for EHR deployments on this variant is:</w:t>
      </w:r>
    </w:p>
    <w:p>
      <w:pPr>
        <w:numPr>
          <w:ilvl w:val="0"/>
          <w:numId w:val="1001"/>
        </w:numPr>
      </w:pPr>
      <w:r>
        <w:rPr>
          <w:b/>
          <w:bCs/>
        </w:rPr>
        <w:t xml:space="preserve">Art. 9(2)(a) — Explicit consent.</w:t>
      </w:r>
      <w:r>
        <w:t xml:space="preserve"> </w:t>
      </w:r>
      <w:r>
        <w:t xml:space="preserve">The data subject provides freely given, specific, informed, and unambiguous consent to processing of their health data for the purpose of personal health record vaulting and selective disclosure. Consent must be granular per FHIR resource type (e.g. Observation, MedicationRequest, Condition separately).</w:t>
      </w:r>
    </w:p>
    <w:p>
      <w:pPr>
        <w:numPr>
          <w:ilvl w:val="0"/>
          <w:numId w:val="1001"/>
        </w:numPr>
      </w:pPr>
      <w:r>
        <w:rPr>
          <w:b/>
          <w:bCs/>
        </w:rPr>
        <w:t xml:space="preserve">Consent record architecture.</w:t>
      </w:r>
      <w:r>
        <w:t xml:space="preserve"> </w:t>
      </w:r>
      <w:r>
        <w:t xml:space="preserve">A consent record is written to List 2 of the shystore ledger via</w:t>
      </w:r>
      <w:r>
        <w:t xml:space="preserve"> </w:t>
      </w:r>
      <w:r>
        <w:rPr>
          <w:rStyle w:val="VerbatimChar"/>
        </w:rPr>
        <w:t xml:space="preserve">POST /api/store/consent</w:t>
      </w:r>
      <w:r>
        <w:t xml:space="preserve"> </w:t>
      </w:r>
      <w:r>
        <w:t xml:space="preserve">with</w:t>
      </w:r>
      <w:r>
        <w:t xml:space="preserve"> </w:t>
      </w:r>
      <w:r>
        <w:rPr>
          <w:rStyle w:val="VerbatimChar"/>
        </w:rPr>
        <w:t xml:space="preserve">category: health_record</w:t>
      </w:r>
      <w:r>
        <w:t xml:space="preserve">,</w:t>
      </w:r>
      <w:r>
        <w:t xml:space="preserve"> </w:t>
      </w:r>
      <w:r>
        <w:rPr>
          <w:rStyle w:val="VerbatimChar"/>
        </w:rPr>
        <w:t xml:space="preserve">basis: explicit_consent</w:t>
      </w:r>
      <w:r>
        <w:t xml:space="preserve">, and a scoping identifier. The consent record is itself subject to Art. 17 erasure via</w:t>
      </w:r>
      <w:r>
        <w:t xml:space="preserve"> </w:t>
      </w:r>
      <w:r>
        <w:rPr>
          <w:rStyle w:val="VerbatimChar"/>
        </w:rPr>
        <w:t xml:space="preserve">DELETE /api/store/consent/:consentId</w:t>
      </w:r>
      <w:r>
        <w:t xml:space="preserve">. The shystore EHR assertion suite tests this endpoint.</w:t>
      </w:r>
    </w:p>
    <w:p>
      <w:pPr>
        <w:numPr>
          <w:ilvl w:val="0"/>
          <w:numId w:val="1001"/>
        </w:numPr>
      </w:pPr>
      <w:r>
        <w:rPr>
          <w:b/>
          <w:bCs/>
        </w:rPr>
        <w:t xml:space="preserve">Withdrawal path.</w:t>
      </w:r>
      <w:r>
        <w:t xml:space="preserve"> </w:t>
      </w:r>
      <w:r>
        <w:t xml:space="preserve">Withdrawal of consent triggers deletion of all associated</w:t>
      </w:r>
      <w:r>
        <w:t xml:space="preserve"> </w:t>
      </w:r>
      <w:r>
        <w:rPr>
          <w:rStyle w:val="VerbatimChar"/>
        </w:rPr>
        <w:t xml:space="preserve">health_record</w:t>
      </w:r>
      <w:r>
        <w:t xml:space="preserve"> </w:t>
      </w:r>
      <w:r>
        <w:t xml:space="preserve">and</w:t>
      </w:r>
      <w:r>
        <w:t xml:space="preserve"> </w:t>
      </w:r>
      <w:r>
        <w:rPr>
          <w:rStyle w:val="VerbatimChar"/>
        </w:rPr>
        <w:t xml:space="preserve">health_record_era</w:t>
      </w:r>
      <w:r>
        <w:t xml:space="preserve"> </w:t>
      </w:r>
      <w:r>
        <w:t xml:space="preserve">secrets plus the consent record itself. The Art. 17 erasure path (ERASURE section, VERIFIED run 26421919030) covers the canonical deletion step; operator must additionally purge off-chain linkage, backup, and FHIR-provider-side authorisation.</w:t>
      </w:r>
    </w:p>
    <w:p>
      <w:pPr>
        <w:pStyle w:val="FirstParagraph"/>
      </w:pPr>
      <w:r>
        <w:rPr>
          <w:b/>
          <w:bCs/>
        </w:rPr>
        <w:t xml:space="preserve">Required operator action:</w:t>
      </w:r>
      <w:r>
        <w:t xml:space="preserve"> </w:t>
      </w:r>
      <w:r>
        <w:t xml:space="preserve">Before EHR payloads flow in production, a counsel-reviewed consent UI must be deployed at the operator EHR console that records Art. 9(2)(a) consent per resource type. Shyware does not provide the consent UI.</w:t>
      </w:r>
    </w:p>
    <w:bookmarkEnd w:id="19"/>
    <w:bookmarkStart w:id="20" w:name="ehr-hipaa"/>
    <w:p>
      <w:pPr>
        <w:pStyle w:val="Heading3"/>
      </w:pPr>
      <w:r>
        <w:t xml:space="preserve">HIPAA Applicability</w:t>
      </w:r>
    </w:p>
    <w:p>
      <w:pPr>
        <w:pStyle w:val="FirstParagraph"/>
      </w:pPr>
      <w:r>
        <w:t xml:space="preserve">If the operator deployment processes Protected Health Information (PHI) of US persons in connection with a covered entity or business associate, HIPAA applies independently of GDPR.</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2246"/>
        <w:gridCol w:w="2808"/>
        <w:gridCol w:w="4306"/>
      </w:tblGrid>
      <w:tr>
        <w:trPr>
          <w:tblHeader w:val="on"/>
        </w:trPr>
        <w:tc>
          <w:tcPr>
            <w:tcW w:type="pct" w:w="12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Sub-processor</w:t>
            </w:r>
          </w:p>
        </w:tc>
        <w:tc>
          <w:tcPr>
            <w:tcW w:type="pct" w:w="15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HIPAA role</w:t>
            </w:r>
          </w:p>
        </w:tc>
        <w:tc>
          <w:tcPr>
            <w:tcW w:type="pct" w:w="23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BAA status</w:t>
            </w:r>
          </w:p>
        </w:tc>
      </w:tr>
      <w:tr>
        <w:tc>
          <w:tcPr>
            <w:tcW w:type="pct" w:w="1200"/>
            <w:tcBorders>
              <w:top w:val="single" w:sz="8" w:space="0" w:color="000000"/>
              <w:left w:val="single" w:sz="8" w:space="0" w:color="000000"/>
              <w:bottom w:val="single" w:sz="8" w:space="0" w:color="000000"/>
              <w:right w:val="single" w:sz="8" w:space="0" w:color="000000"/>
            </w:tcBorders>
          </w:tcPr>
          <w:p>
            <w:pPr>
              <w:pStyle w:val="Compact"/>
              <w:jc w:val="left"/>
            </w:pPr>
            <w:r>
              <w:t xml:space="preserve">AWS (KMS, EC2, S3 Object Lock)</w:t>
            </w:r>
          </w:p>
        </w:tc>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Business Associate</w:t>
            </w:r>
          </w:p>
        </w:tc>
        <w:tc>
          <w:tcPr>
            <w:tcW w:type="pct" w:w="2300"/>
            <w:tcBorders>
              <w:top w:val="single" w:sz="8" w:space="0" w:color="000000"/>
              <w:left w:val="single" w:sz="8" w:space="0" w:color="000000"/>
              <w:bottom w:val="single" w:sz="8" w:space="0" w:color="000000"/>
              <w:right w:val="single" w:sz="8" w:space="0" w:color="000000"/>
            </w:tcBorders>
          </w:tcPr>
          <w:p>
            <w:pPr>
              <w:pStyle w:val="Compact"/>
              <w:jc w:val="left"/>
            </w:pPr>
            <w:r>
              <w:t xml:space="preserve">BAA required before PHI flows; AWS standard BAA available under AWS Customer Agreement</w:t>
            </w:r>
          </w:p>
        </w:tc>
      </w:tr>
      <w:tr>
        <w:tc>
          <w:tcPr>
            <w:tcW w:type="pct" w:w="1200"/>
            <w:tcBorders>
              <w:top w:val="single" w:sz="8" w:space="0" w:color="000000"/>
              <w:left w:val="single" w:sz="8" w:space="0" w:color="000000"/>
              <w:bottom w:val="single" w:sz="8" w:space="0" w:color="000000"/>
              <w:right w:val="single" w:sz="8" w:space="0" w:color="000000"/>
            </w:tcBorders>
          </w:tcPr>
          <w:p>
            <w:pPr>
              <w:pStyle w:val="Compact"/>
              <w:jc w:val="left"/>
            </w:pPr>
            <w:r>
              <w:t xml:space="preserve">CockroachDB (off-chain linkage)</w:t>
            </w:r>
          </w:p>
        </w:tc>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Business Associate</w:t>
            </w:r>
          </w:p>
        </w:tc>
        <w:tc>
          <w:tcPr>
            <w:tcW w:type="pct" w:w="2300"/>
            <w:tcBorders>
              <w:top w:val="single" w:sz="8" w:space="0" w:color="000000"/>
              <w:left w:val="single" w:sz="8" w:space="0" w:color="000000"/>
              <w:bottom w:val="single" w:sz="8" w:space="0" w:color="000000"/>
              <w:right w:val="single" w:sz="8" w:space="0" w:color="000000"/>
            </w:tcBorders>
          </w:tcPr>
          <w:p>
            <w:pPr>
              <w:pStyle w:val="Compact"/>
              <w:jc w:val="left"/>
            </w:pPr>
            <w:r>
              <w:t xml:space="preserve">BAA required; CockroachDB HIPAA-eligible tier required</w:t>
            </w:r>
          </w:p>
        </w:tc>
      </w:tr>
      <w:tr>
        <w:tc>
          <w:tcPr>
            <w:tcW w:type="pct" w:w="1200"/>
            <w:tcBorders>
              <w:top w:val="single" w:sz="8" w:space="0" w:color="000000"/>
              <w:left w:val="single" w:sz="8" w:space="0" w:color="000000"/>
              <w:bottom w:val="single" w:sz="8" w:space="0" w:color="000000"/>
              <w:right w:val="single" w:sz="8" w:space="0" w:color="000000"/>
            </w:tcBorders>
          </w:tcPr>
          <w:p>
            <w:pPr>
              <w:pStyle w:val="Compact"/>
              <w:jc w:val="left"/>
            </w:pPr>
            <w:r>
              <w:t xml:space="preserve">Didit (biometric break-glass fallback only)</w:t>
            </w:r>
          </w:p>
        </w:tc>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Business Associate (identity context only; no PHI payload)</w:t>
            </w:r>
          </w:p>
        </w:tc>
        <w:tc>
          <w:tcPr>
            <w:tcW w:type="pct" w:w="2300"/>
            <w:tcBorders>
              <w:top w:val="single" w:sz="8" w:space="0" w:color="000000"/>
              <w:left w:val="single" w:sz="8" w:space="0" w:color="000000"/>
              <w:bottom w:val="single" w:sz="8" w:space="0" w:color="000000"/>
              <w:right w:val="single" w:sz="8" w:space="0" w:color="000000"/>
            </w:tcBorders>
          </w:tcPr>
          <w:p>
            <w:pPr>
              <w:pStyle w:val="Compact"/>
              <w:jc w:val="left"/>
            </w:pPr>
            <w:r>
              <w:t xml:space="preserve">BAA required only if biometric fallback is enabled and biometric re-attestation occurs in a PHI-covered deployment; Didit does not receive EHR payloads in any path</w:t>
            </w:r>
          </w:p>
        </w:tc>
      </w:tr>
      <w:tr>
        <w:tc>
          <w:tcPr>
            <w:tcW w:type="pct" w:w="1200"/>
            <w:tcBorders>
              <w:top w:val="single" w:sz="8" w:space="0" w:color="000000"/>
              <w:left w:val="single" w:sz="8" w:space="0" w:color="000000"/>
              <w:bottom w:val="single" w:sz="8" w:space="0" w:color="000000"/>
              <w:right w:val="single" w:sz="8" w:space="0" w:color="000000"/>
            </w:tcBorders>
          </w:tcPr>
          <w:p>
            <w:pPr>
              <w:pStyle w:val="Compact"/>
              <w:jc w:val="left"/>
            </w:pPr>
            <w:r>
              <w:t xml:space="preserve">Epic (FHIR source)</w:t>
            </w:r>
          </w:p>
        </w:tc>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Covered Entity / data source</w:t>
            </w:r>
          </w:p>
        </w:tc>
        <w:tc>
          <w:tcPr>
            <w:tcW w:type="pct" w:w="2300"/>
            <w:tcBorders>
              <w:top w:val="single" w:sz="8" w:space="0" w:color="000000"/>
              <w:left w:val="single" w:sz="8" w:space="0" w:color="000000"/>
              <w:bottom w:val="single" w:sz="8" w:space="0" w:color="000000"/>
              <w:right w:val="single" w:sz="8" w:space="0" w:color="000000"/>
            </w:tcBorders>
          </w:tcPr>
          <w:p>
            <w:pPr>
              <w:pStyle w:val="Compact"/>
              <w:jc w:val="left"/>
            </w:pPr>
            <w:r>
              <w:t xml:space="preserve">Patient-authorised SMART on FHIR access; Epic is not a downstream processor</w:t>
            </w:r>
          </w:p>
        </w:tc>
      </w:tr>
    </w:tbl>
    <w:p>
      <w:pPr>
        <w:pStyle w:val="BodyText"/>
      </w:pPr>
      <w:r>
        <w:rPr>
          <w:b/>
          <w:bCs/>
        </w:rPr>
        <w:t xml:space="preserve">VITE_FHIR_CLIENT_ID</w:t>
      </w:r>
      <w:r>
        <w:t xml:space="preserve"> </w:t>
      </w:r>
      <w:r>
        <w:t xml:space="preserve">must be set in CI secrets before the Epic SMART on FHIR flow is wired. The CI build environment currently passes this variable empty; any production build must populate it from a registered Epic client ID.</w:t>
      </w:r>
    </w:p>
    <w:bookmarkEnd w:id="20"/>
    <w:bookmarkStart w:id="21" w:name="ehr-selective-disclosure"/>
    <w:p>
      <w:pPr>
        <w:pStyle w:val="Heading3"/>
      </w:pPr>
      <w:r>
        <w:t xml:space="preserve">Selective Disclosure Architecture</w:t>
      </w:r>
    </w:p>
    <w:p>
      <w:pPr>
        <w:pStyle w:val="FirstParagraph"/>
      </w:pPr>
      <w:r>
        <w:rPr>
          <w:rStyle w:val="VerbatimChar"/>
        </w:rPr>
        <w:t xml:space="preserve">shyconfig.store.selective_disclosure: true</w:t>
      </w:r>
      <w:r>
        <w:t xml:space="preserve"> </w:t>
      </w:r>
      <w:r>
        <w:t xml:space="preserve">declares that the reconciling authority API must accept a</w:t>
      </w:r>
      <w:r>
        <w:t xml:space="preserve"> </w:t>
      </w:r>
      <w:r>
        <w:rPr>
          <w:rStyle w:val="VerbatimChar"/>
        </w:rPr>
        <w:t xml:space="preserve">category</w:t>
      </w:r>
      <w:r>
        <w:t xml:space="preserve"> </w:t>
      </w:r>
      <w:r>
        <w:t xml:space="preserve">filter parameter and return only matching sealed blobs. The Stack 4 EHR assertion suite verifies:</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3650"/>
        <w:gridCol w:w="2527"/>
        <w:gridCol w:w="3182"/>
      </w:tblGrid>
      <w:tr>
        <w:trPr>
          <w:tblHeader w:val="on"/>
        </w:trPr>
        <w:tc>
          <w:tcPr>
            <w:tcW w:type="pct" w:w="19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Assertion</w:t>
            </w:r>
          </w:p>
        </w:tc>
        <w:tc>
          <w:tcPr>
            <w:tcW w:type="pct" w:w="13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Endpoint</w:t>
            </w:r>
          </w:p>
        </w:tc>
        <w:tc>
          <w:tcPr>
            <w:tcW w:type="pct" w:w="17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Invariant</w:t>
            </w:r>
          </w:p>
        </w:tc>
      </w:tr>
      <w:tr>
        <w:tc>
          <w:tcPr>
            <w:tcW w:type="pct" w:w="1950"/>
            <w:tcBorders>
              <w:top w:val="single" w:sz="8" w:space="0" w:color="000000"/>
              <w:left w:val="single" w:sz="8" w:space="0" w:color="000000"/>
              <w:bottom w:val="single" w:sz="8" w:space="0" w:color="000000"/>
              <w:right w:val="single" w:sz="8" w:space="0" w:color="000000"/>
            </w:tcBorders>
          </w:tcPr>
          <w:p>
            <w:pPr>
              <w:pStyle w:val="Compact"/>
              <w:jc w:val="left"/>
            </w:pPr>
            <w:r>
              <w:rPr>
                <w:rStyle w:val="VerbatimChar"/>
              </w:rPr>
              <w:t xml:space="preserve">health_record</w:t>
            </w:r>
            <w:r>
              <w:t xml:space="preserve"> </w:t>
            </w:r>
            <w:r>
              <w:t xml:space="preserve">store → 201, secretId returned</w:t>
            </w:r>
          </w:p>
        </w:tc>
        <w:tc>
          <w:tcPr>
            <w:tcW w:type="pct" w:w="1350"/>
            <w:tcBorders>
              <w:top w:val="single" w:sz="8" w:space="0" w:color="000000"/>
              <w:left w:val="single" w:sz="8" w:space="0" w:color="000000"/>
              <w:bottom w:val="single" w:sz="8" w:space="0" w:color="000000"/>
              <w:right w:val="single" w:sz="8" w:space="0" w:color="000000"/>
            </w:tcBorders>
          </w:tcPr>
          <w:p>
            <w:pPr>
              <w:pStyle w:val="Compact"/>
              <w:jc w:val="left"/>
            </w:pPr>
            <w:r>
              <w:rPr>
                <w:rStyle w:val="VerbatimChar"/>
              </w:rPr>
              <w:t xml:space="preserve">POST /api/store/secrets</w:t>
            </w:r>
          </w:p>
        </w:tc>
        <w:tc>
          <w:tcPr>
            <w:tcW w:type="pct" w:w="1700"/>
            <w:tcBorders>
              <w:top w:val="single" w:sz="8" w:space="0" w:color="000000"/>
              <w:left w:val="single" w:sz="8" w:space="0" w:color="000000"/>
              <w:bottom w:val="single" w:sz="8" w:space="0" w:color="000000"/>
              <w:right w:val="single" w:sz="8" w:space="0" w:color="000000"/>
            </w:tcBorders>
          </w:tcPr>
          <w:p>
            <w:pPr>
              <w:pStyle w:val="Compact"/>
              <w:jc w:val="left"/>
            </w:pPr>
            <w:r>
              <w:t xml:space="preserve">Sealed health blob enters List 1 without identity in response</w:t>
            </w:r>
          </w:p>
        </w:tc>
      </w:tr>
      <w:tr>
        <w:tc>
          <w:tcPr>
            <w:tcW w:type="pct" w:w="1950"/>
            <w:tcBorders>
              <w:top w:val="single" w:sz="8" w:space="0" w:color="000000"/>
              <w:left w:val="single" w:sz="8" w:space="0" w:color="000000"/>
              <w:bottom w:val="single" w:sz="8" w:space="0" w:color="000000"/>
              <w:right w:val="single" w:sz="8" w:space="0" w:color="000000"/>
            </w:tcBorders>
          </w:tcPr>
          <w:p>
            <w:pPr>
              <w:pStyle w:val="Compact"/>
              <w:jc w:val="left"/>
            </w:pPr>
            <w:r>
              <w:rPr>
                <w:rStyle w:val="VerbatimChar"/>
              </w:rPr>
              <w:t xml:space="preserve">health_record_era</w:t>
            </w:r>
            <w:r>
              <w:t xml:space="preserve"> </w:t>
            </w:r>
            <w:r>
              <w:t xml:space="preserve">store → 201, secretId returned</w:t>
            </w:r>
          </w:p>
        </w:tc>
        <w:tc>
          <w:tcPr>
            <w:tcW w:type="pct" w:w="1350"/>
            <w:tcBorders>
              <w:top w:val="single" w:sz="8" w:space="0" w:color="000000"/>
              <w:left w:val="single" w:sz="8" w:space="0" w:color="000000"/>
              <w:bottom w:val="single" w:sz="8" w:space="0" w:color="000000"/>
              <w:right w:val="single" w:sz="8" w:space="0" w:color="000000"/>
            </w:tcBorders>
          </w:tcPr>
          <w:p>
            <w:pPr>
              <w:pStyle w:val="Compact"/>
              <w:jc w:val="left"/>
            </w:pPr>
            <w:r>
              <w:rPr>
                <w:rStyle w:val="VerbatimChar"/>
              </w:rPr>
              <w:t xml:space="preserve">POST /api/store/secrets</w:t>
            </w:r>
          </w:p>
        </w:tc>
        <w:tc>
          <w:tcPr>
            <w:tcW w:type="pct" w:w="1700"/>
            <w:tcBorders>
              <w:top w:val="single" w:sz="8" w:space="0" w:color="000000"/>
              <w:left w:val="single" w:sz="8" w:space="0" w:color="000000"/>
              <w:bottom w:val="single" w:sz="8" w:space="0" w:color="000000"/>
              <w:right w:val="single" w:sz="8" w:space="0" w:color="000000"/>
            </w:tcBorders>
          </w:tcPr>
          <w:p>
            <w:pPr>
              <w:pStyle w:val="Compact"/>
              <w:jc w:val="left"/>
            </w:pPr>
            <w:r>
              <w:t xml:space="preserve">Era-scoped health blob enters List 1 independently</w:t>
            </w:r>
          </w:p>
        </w:tc>
      </w:tr>
      <w:tr>
        <w:tc>
          <w:tcPr>
            <w:tcW w:type="pct" w:w="1950"/>
            <w:tcBorders>
              <w:top w:val="single" w:sz="8" w:space="0" w:color="000000"/>
              <w:left w:val="single" w:sz="8" w:space="0" w:color="000000"/>
              <w:bottom w:val="single" w:sz="8" w:space="0" w:color="000000"/>
              <w:right w:val="single" w:sz="8" w:space="0" w:color="000000"/>
            </w:tcBorders>
          </w:tcPr>
          <w:p>
            <w:pPr>
              <w:pStyle w:val="Compact"/>
              <w:jc w:val="left"/>
            </w:pPr>
            <w:r>
              <w:t xml:space="preserve">Retrieve</w:t>
            </w:r>
            <w:r>
              <w:t xml:space="preserve"> </w:t>
            </w:r>
            <w:r>
              <w:rPr>
                <w:rStyle w:val="VerbatimChar"/>
              </w:rPr>
              <w:t xml:space="preserve">health_record</w:t>
            </w:r>
            <w:r>
              <w:t xml:space="preserve"> </w:t>
            </w:r>
            <w:r>
              <w:t xml:space="preserve">→ secretId present, no identityHash</w:t>
            </w:r>
          </w:p>
        </w:tc>
        <w:tc>
          <w:tcPr>
            <w:tcW w:type="pct" w:w="1350"/>
            <w:tcBorders>
              <w:top w:val="single" w:sz="8" w:space="0" w:color="000000"/>
              <w:left w:val="single" w:sz="8" w:space="0" w:color="000000"/>
              <w:bottom w:val="single" w:sz="8" w:space="0" w:color="000000"/>
              <w:right w:val="single" w:sz="8" w:space="0" w:color="000000"/>
            </w:tcBorders>
          </w:tcPr>
          <w:p>
            <w:pPr>
              <w:pStyle w:val="Compact"/>
              <w:jc w:val="left"/>
            </w:pPr>
            <w:r>
              <w:rPr>
                <w:rStyle w:val="VerbatimChar"/>
              </w:rPr>
              <w:t xml:space="preserve">GET /api/store/secrets/:id</w:t>
            </w:r>
          </w:p>
        </w:tc>
        <w:tc>
          <w:tcPr>
            <w:tcW w:type="pct" w:w="1700"/>
            <w:tcBorders>
              <w:top w:val="single" w:sz="8" w:space="0" w:color="000000"/>
              <w:left w:val="single" w:sz="8" w:space="0" w:color="000000"/>
              <w:bottom w:val="single" w:sz="8" w:space="0" w:color="000000"/>
              <w:right w:val="single" w:sz="8" w:space="0" w:color="000000"/>
            </w:tcBorders>
          </w:tcPr>
          <w:p>
            <w:pPr>
              <w:pStyle w:val="Compact"/>
              <w:jc w:val="left"/>
            </w:pPr>
            <w:r>
              <w:t xml:space="preserve">Structural non-linkability preserved in retrieval response</w:t>
            </w:r>
          </w:p>
        </w:tc>
      </w:tr>
      <w:tr>
        <w:tc>
          <w:tcPr>
            <w:tcW w:type="pct" w:w="1950"/>
            <w:tcBorders>
              <w:top w:val="single" w:sz="8" w:space="0" w:color="000000"/>
              <w:left w:val="single" w:sz="8" w:space="0" w:color="000000"/>
              <w:bottom w:val="single" w:sz="8" w:space="0" w:color="000000"/>
              <w:right w:val="single" w:sz="8" w:space="0" w:color="000000"/>
            </w:tcBorders>
          </w:tcPr>
          <w:p>
            <w:pPr>
              <w:pStyle w:val="Compact"/>
              <w:jc w:val="left"/>
            </w:pPr>
            <w:r>
              <w:t xml:space="preserve">Selective disclosure:</w:t>
            </w:r>
            <w:r>
              <w:t xml:space="preserve"> </w:t>
            </w:r>
            <w:r>
              <w:rPr>
                <w:rStyle w:val="VerbatimChar"/>
              </w:rPr>
              <w:t xml:space="preserve">health_record</w:t>
            </w:r>
            <w:r>
              <w:t xml:space="preserve"> </w:t>
            </w:r>
            <w:r>
              <w:t xml:space="preserve">request does not return</w:t>
            </w:r>
            <w:r>
              <w:t xml:space="preserve"> </w:t>
            </w:r>
            <w:r>
              <w:rPr>
                <w:rStyle w:val="VerbatimChar"/>
              </w:rPr>
              <w:t xml:space="preserve">health_record_era</w:t>
            </w:r>
            <w:r>
              <w:t xml:space="preserve"> </w:t>
            </w:r>
            <w:r>
              <w:t xml:space="preserve">secretId</w:t>
            </w:r>
          </w:p>
        </w:tc>
        <w:tc>
          <w:tcPr>
            <w:tcW w:type="pct" w:w="1350"/>
            <w:tcBorders>
              <w:top w:val="single" w:sz="8" w:space="0" w:color="000000"/>
              <w:left w:val="single" w:sz="8" w:space="0" w:color="000000"/>
              <w:bottom w:val="single" w:sz="8" w:space="0" w:color="000000"/>
              <w:right w:val="single" w:sz="8" w:space="0" w:color="000000"/>
            </w:tcBorders>
          </w:tcPr>
          <w:p>
            <w:pPr>
              <w:pStyle w:val="Compact"/>
              <w:jc w:val="left"/>
            </w:pPr>
            <w:r>
              <w:rPr>
                <w:rStyle w:val="VerbatimChar"/>
              </w:rPr>
              <w:t xml:space="preserve">GET /api/store/secrets/:id?category=health_record</w:t>
            </w:r>
          </w:p>
        </w:tc>
        <w:tc>
          <w:tcPr>
            <w:tcW w:type="pct" w:w="1700"/>
            <w:tcBorders>
              <w:top w:val="single" w:sz="8" w:space="0" w:color="000000"/>
              <w:left w:val="single" w:sz="8" w:space="0" w:color="000000"/>
              <w:bottom w:val="single" w:sz="8" w:space="0" w:color="000000"/>
              <w:right w:val="single" w:sz="8" w:space="0" w:color="000000"/>
            </w:tcBorders>
          </w:tcPr>
          <w:p>
            <w:pPr>
              <w:pStyle w:val="Compact"/>
              <w:jc w:val="left"/>
            </w:pPr>
            <w:r>
              <w:t xml:space="preserve">No category cross-leak</w:t>
            </w:r>
          </w:p>
        </w:tc>
      </w:tr>
      <w:tr>
        <w:tc>
          <w:tcPr>
            <w:tcW w:type="pct" w:w="1950"/>
            <w:tcBorders>
              <w:top w:val="single" w:sz="8" w:space="0" w:color="000000"/>
              <w:left w:val="single" w:sz="8" w:space="0" w:color="000000"/>
              <w:bottom w:val="single" w:sz="8" w:space="0" w:color="000000"/>
              <w:right w:val="single" w:sz="8" w:space="0" w:color="000000"/>
            </w:tcBorders>
          </w:tcPr>
          <w:p>
            <w:pPr>
              <w:pStyle w:val="Compact"/>
              <w:jc w:val="left"/>
            </w:pPr>
            <w:r>
              <w:t xml:space="preserve">Cross-participant isolation: Bob cannot retrieve Alice’s health record</w:t>
            </w:r>
          </w:p>
        </w:tc>
        <w:tc>
          <w:tcPr>
            <w:tcW w:type="pct" w:w="1350"/>
            <w:tcBorders>
              <w:top w:val="single" w:sz="8" w:space="0" w:color="000000"/>
              <w:left w:val="single" w:sz="8" w:space="0" w:color="000000"/>
              <w:bottom w:val="single" w:sz="8" w:space="0" w:color="000000"/>
              <w:right w:val="single" w:sz="8" w:space="0" w:color="000000"/>
            </w:tcBorders>
          </w:tcPr>
          <w:p>
            <w:pPr>
              <w:pStyle w:val="Compact"/>
              <w:jc w:val="left"/>
            </w:pPr>
            <w:r>
              <w:rPr>
                <w:rStyle w:val="VerbatimChar"/>
              </w:rPr>
              <w:t xml:space="preserve">GET /api/store/secrets/:id</w:t>
            </w:r>
            <w:r>
              <w:t xml:space="preserve"> </w:t>
            </w:r>
            <w:r>
              <w:t xml:space="preserve">(Bob token)</w:t>
            </w:r>
          </w:p>
        </w:tc>
        <w:tc>
          <w:tcPr>
            <w:tcW w:type="pct" w:w="1700"/>
            <w:tcBorders>
              <w:top w:val="single" w:sz="8" w:space="0" w:color="000000"/>
              <w:left w:val="single" w:sz="8" w:space="0" w:color="000000"/>
              <w:bottom w:val="single" w:sz="8" w:space="0" w:color="000000"/>
              <w:right w:val="single" w:sz="8" w:space="0" w:color="000000"/>
            </w:tcBorders>
          </w:tcPr>
          <w:p>
            <w:pPr>
              <w:pStyle w:val="Compact"/>
              <w:jc w:val="left"/>
            </w:pPr>
            <w:r>
              <w:t xml:space="preserve">403 or 404; non-bulk extraction gating per Claim 65</w:t>
            </w:r>
          </w:p>
        </w:tc>
      </w:tr>
      <w:tr>
        <w:tc>
          <w:tcPr>
            <w:tcW w:type="pct" w:w="1950"/>
            <w:tcBorders>
              <w:top w:val="single" w:sz="8" w:space="0" w:color="000000"/>
              <w:left w:val="single" w:sz="8" w:space="0" w:color="000000"/>
              <w:bottom w:val="single" w:sz="8" w:space="0" w:color="000000"/>
              <w:right w:val="single" w:sz="8" w:space="0" w:color="000000"/>
            </w:tcBorders>
          </w:tcPr>
          <w:p>
            <w:pPr>
              <w:pStyle w:val="Compact"/>
              <w:jc w:val="left"/>
            </w:pPr>
            <w:r>
              <w:t xml:space="preserve">Art. 9 consent record → 200/201, consentId returned</w:t>
            </w:r>
          </w:p>
        </w:tc>
        <w:tc>
          <w:tcPr>
            <w:tcW w:type="pct" w:w="1350"/>
            <w:tcBorders>
              <w:top w:val="single" w:sz="8" w:space="0" w:color="000000"/>
              <w:left w:val="single" w:sz="8" w:space="0" w:color="000000"/>
              <w:bottom w:val="single" w:sz="8" w:space="0" w:color="000000"/>
              <w:right w:val="single" w:sz="8" w:space="0" w:color="000000"/>
            </w:tcBorders>
          </w:tcPr>
          <w:p>
            <w:pPr>
              <w:pStyle w:val="Compact"/>
              <w:jc w:val="left"/>
            </w:pPr>
            <w:r>
              <w:rPr>
                <w:rStyle w:val="VerbatimChar"/>
              </w:rPr>
              <w:t xml:space="preserve">POST /api/store/consent</w:t>
            </w:r>
          </w:p>
        </w:tc>
        <w:tc>
          <w:tcPr>
            <w:tcW w:type="pct" w:w="1700"/>
            <w:tcBorders>
              <w:top w:val="single" w:sz="8" w:space="0" w:color="000000"/>
              <w:left w:val="single" w:sz="8" w:space="0" w:color="000000"/>
              <w:bottom w:val="single" w:sz="8" w:space="0" w:color="000000"/>
              <w:right w:val="single" w:sz="8" w:space="0" w:color="000000"/>
            </w:tcBorders>
          </w:tcPr>
          <w:p>
            <w:pPr>
              <w:pStyle w:val="Compact"/>
              <w:jc w:val="left"/>
            </w:pPr>
            <w:r>
              <w:t xml:space="preserve">Consent endpoint exists and is identity-gated</w:t>
            </w:r>
          </w:p>
        </w:tc>
      </w:tr>
      <w:tr>
        <w:tc>
          <w:tcPr>
            <w:tcW w:type="pct" w:w="1950"/>
            <w:tcBorders>
              <w:top w:val="single" w:sz="8" w:space="0" w:color="000000"/>
              <w:left w:val="single" w:sz="8" w:space="0" w:color="000000"/>
              <w:bottom w:val="single" w:sz="8" w:space="0" w:color="000000"/>
              <w:right w:val="single" w:sz="8" w:space="0" w:color="000000"/>
            </w:tcBorders>
          </w:tcPr>
          <w:p>
            <w:pPr>
              <w:pStyle w:val="Compact"/>
              <w:jc w:val="left"/>
            </w:pPr>
            <w:r>
              <w:t xml:space="preserve">Bulk EHR enumeration → 403</w:t>
            </w:r>
          </w:p>
        </w:tc>
        <w:tc>
          <w:tcPr>
            <w:tcW w:type="pct" w:w="1350"/>
            <w:tcBorders>
              <w:top w:val="single" w:sz="8" w:space="0" w:color="000000"/>
              <w:left w:val="single" w:sz="8" w:space="0" w:color="000000"/>
              <w:bottom w:val="single" w:sz="8" w:space="0" w:color="000000"/>
              <w:right w:val="single" w:sz="8" w:space="0" w:color="000000"/>
            </w:tcBorders>
          </w:tcPr>
          <w:p>
            <w:pPr>
              <w:pStyle w:val="Compact"/>
              <w:jc w:val="left"/>
            </w:pPr>
            <w:r>
              <w:rPr>
                <w:rStyle w:val="VerbatimChar"/>
              </w:rPr>
              <w:t xml:space="preserve">GET /api/store/secrets/all?category=health_record</w:t>
            </w:r>
          </w:p>
        </w:tc>
        <w:tc>
          <w:tcPr>
            <w:tcW w:type="pct" w:w="1700"/>
            <w:tcBorders>
              <w:top w:val="single" w:sz="8" w:space="0" w:color="000000"/>
              <w:left w:val="single" w:sz="8" w:space="0" w:color="000000"/>
              <w:bottom w:val="single" w:sz="8" w:space="0" w:color="000000"/>
              <w:right w:val="single" w:sz="8" w:space="0" w:color="000000"/>
            </w:tcBorders>
          </w:tcPr>
          <w:p>
            <w:pPr>
              <w:pStyle w:val="Compact"/>
              <w:jc w:val="left"/>
            </w:pPr>
            <w:r>
              <w:t xml:space="preserve">Fresh-input non-enumerability per Claim 59</w:t>
            </w:r>
          </w:p>
        </w:tc>
      </w:tr>
      <w:tr>
        <w:tc>
          <w:tcPr>
            <w:tcW w:type="pct" w:w="1950"/>
            <w:tcBorders>
              <w:top w:val="single" w:sz="8" w:space="0" w:color="000000"/>
              <w:left w:val="single" w:sz="8" w:space="0" w:color="000000"/>
              <w:bottom w:val="single" w:sz="8" w:space="0" w:color="000000"/>
              <w:right w:val="single" w:sz="8" w:space="0" w:color="000000"/>
            </w:tcBorders>
          </w:tcPr>
          <w:p>
            <w:pPr>
              <w:pStyle w:val="Compact"/>
              <w:jc w:val="left"/>
            </w:pPr>
            <w:r>
              <w:t xml:space="preserve">Art. 17 EHR erasure → 200/204</w:t>
            </w:r>
          </w:p>
        </w:tc>
        <w:tc>
          <w:tcPr>
            <w:tcW w:type="pct" w:w="1350"/>
            <w:tcBorders>
              <w:top w:val="single" w:sz="8" w:space="0" w:color="000000"/>
              <w:left w:val="single" w:sz="8" w:space="0" w:color="000000"/>
              <w:bottom w:val="single" w:sz="8" w:space="0" w:color="000000"/>
              <w:right w:val="single" w:sz="8" w:space="0" w:color="000000"/>
            </w:tcBorders>
          </w:tcPr>
          <w:p>
            <w:pPr>
              <w:pStyle w:val="Compact"/>
              <w:jc w:val="left"/>
            </w:pPr>
            <w:r>
              <w:rPr>
                <w:rStyle w:val="VerbatimChar"/>
              </w:rPr>
              <w:t xml:space="preserve">DELETE /api/store/secrets/:id</w:t>
            </w:r>
          </w:p>
        </w:tc>
        <w:tc>
          <w:tcPr>
            <w:tcW w:type="pct" w:w="1700"/>
            <w:tcBorders>
              <w:top w:val="single" w:sz="8" w:space="0" w:color="000000"/>
              <w:left w:val="single" w:sz="8" w:space="0" w:color="000000"/>
              <w:bottom w:val="single" w:sz="8" w:space="0" w:color="000000"/>
              <w:right w:val="single" w:sz="8" w:space="0" w:color="000000"/>
            </w:tcBorders>
          </w:tcPr>
          <w:p>
            <w:pPr>
              <w:pStyle w:val="Compact"/>
              <w:jc w:val="left"/>
            </w:pPr>
            <w:r>
              <w:t xml:space="preserve">Credential-free rescission per Claim 32</w:t>
            </w:r>
          </w:p>
        </w:tc>
      </w:tr>
      <w:tr>
        <w:tc>
          <w:tcPr>
            <w:tcW w:type="pct" w:w="1950"/>
            <w:tcBorders>
              <w:top w:val="single" w:sz="8" w:space="0" w:color="000000"/>
              <w:left w:val="single" w:sz="8" w:space="0" w:color="000000"/>
              <w:bottom w:val="single" w:sz="8" w:space="0" w:color="000000"/>
              <w:right w:val="single" w:sz="8" w:space="0" w:color="000000"/>
            </w:tcBorders>
          </w:tcPr>
          <w:p>
            <w:pPr>
              <w:pStyle w:val="Compact"/>
              <w:jc w:val="left"/>
            </w:pPr>
            <w:r>
              <w:t xml:space="preserve">Post-erasure retrieval → 404</w:t>
            </w:r>
          </w:p>
        </w:tc>
        <w:tc>
          <w:tcPr>
            <w:tcW w:type="pct" w:w="1350"/>
            <w:tcBorders>
              <w:top w:val="single" w:sz="8" w:space="0" w:color="000000"/>
              <w:left w:val="single" w:sz="8" w:space="0" w:color="000000"/>
              <w:bottom w:val="single" w:sz="8" w:space="0" w:color="000000"/>
              <w:right w:val="single" w:sz="8" w:space="0" w:color="000000"/>
            </w:tcBorders>
          </w:tcPr>
          <w:p>
            <w:pPr>
              <w:pStyle w:val="Compact"/>
              <w:jc w:val="left"/>
            </w:pPr>
            <w:r>
              <w:rPr>
                <w:rStyle w:val="VerbatimChar"/>
              </w:rPr>
              <w:t xml:space="preserve">GET /api/store/secrets/:id</w:t>
            </w:r>
          </w:p>
        </w:tc>
        <w:tc>
          <w:tcPr>
            <w:tcW w:type="pct" w:w="1700"/>
            <w:tcBorders>
              <w:top w:val="single" w:sz="8" w:space="0" w:color="000000"/>
              <w:left w:val="single" w:sz="8" w:space="0" w:color="000000"/>
              <w:bottom w:val="single" w:sz="8" w:space="0" w:color="000000"/>
              <w:right w:val="single" w:sz="8" w:space="0" w:color="000000"/>
            </w:tcBorders>
          </w:tcPr>
          <w:p>
            <w:pPr>
              <w:pStyle w:val="Compact"/>
              <w:jc w:val="left"/>
            </w:pPr>
            <w:r>
              <w:t xml:space="preserve">Canonical deletion confirmed</w:t>
            </w:r>
          </w:p>
        </w:tc>
      </w:tr>
    </w:tbl>
    <w:p>
      <w:pPr>
        <w:pStyle w:val="BodyText"/>
      </w:pPr>
      <w:r>
        <w:rPr>
          <w:b/>
          <w:bCs/>
        </w:rPr>
        <w:t xml:space="preserve">EHR residual risk after controls:</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2808"/>
        <w:gridCol w:w="3557"/>
        <w:gridCol w:w="842"/>
        <w:gridCol w:w="842"/>
        <w:gridCol w:w="1310"/>
      </w:tblGrid>
      <w:tr>
        <w:trPr>
          <w:tblHeader w:val="on"/>
        </w:trPr>
        <w:tc>
          <w:tcPr>
            <w:tcW w:type="pct" w:w="15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Risk</w:t>
            </w:r>
          </w:p>
        </w:tc>
        <w:tc>
          <w:tcPr>
            <w:tcW w:type="pct" w:w="19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Control</w:t>
            </w:r>
          </w:p>
        </w:tc>
        <w:tc>
          <w:tcPr>
            <w:tcW w:type="pct" w:w="4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Residual Likelihood</w:t>
            </w:r>
          </w:p>
        </w:tc>
        <w:tc>
          <w:tcPr>
            <w:tcW w:type="pct" w:w="4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Residual Severity</w:t>
            </w:r>
          </w:p>
        </w:tc>
        <w:tc>
          <w:tcPr>
            <w:tcW w:type="pct" w:w="7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Acceptable?</w:t>
            </w:r>
          </w:p>
        </w:tc>
      </w:tr>
      <w:tr>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No Art. 9 lawful basis before EHR flows</w:t>
            </w:r>
          </w:p>
        </w:tc>
        <w:tc>
          <w:tcPr>
            <w:tcW w:type="pct" w:w="1900"/>
            <w:tcBorders>
              <w:top w:val="single" w:sz="8" w:space="0" w:color="000000"/>
              <w:left w:val="single" w:sz="8" w:space="0" w:color="000000"/>
              <w:bottom w:val="single" w:sz="8" w:space="0" w:color="000000"/>
              <w:right w:val="single" w:sz="8" w:space="0" w:color="000000"/>
            </w:tcBorders>
          </w:tcPr>
          <w:p>
            <w:pPr>
              <w:pStyle w:val="Compact"/>
              <w:jc w:val="left"/>
            </w:pPr>
            <w:r>
              <w:t xml:space="preserve">Consent endpoint + counsel UI required</w:t>
            </w:r>
          </w:p>
        </w:tc>
        <w:tc>
          <w:tcPr>
            <w:tcW w:type="pct" w:w="450"/>
            <w:tcBorders>
              <w:top w:val="single" w:sz="8" w:space="0" w:color="000000"/>
              <w:left w:val="single" w:sz="8" w:space="0" w:color="000000"/>
              <w:bottom w:val="single" w:sz="8" w:space="0" w:color="000000"/>
              <w:right w:val="single" w:sz="8" w:space="0" w:color="000000"/>
            </w:tcBorders>
          </w:tcPr>
          <w:p>
            <w:pPr>
              <w:pStyle w:val="Compact"/>
              <w:jc w:val="left"/>
            </w:pPr>
            <w:r>
              <w:t xml:space="preserve">1</w:t>
            </w:r>
          </w:p>
        </w:tc>
        <w:tc>
          <w:tcPr>
            <w:tcW w:type="pct" w:w="450"/>
            <w:tcBorders>
              <w:top w:val="single" w:sz="8" w:space="0" w:color="000000"/>
              <w:left w:val="single" w:sz="8" w:space="0" w:color="000000"/>
              <w:bottom w:val="single" w:sz="8" w:space="0" w:color="000000"/>
              <w:right w:val="single" w:sz="8" w:space="0" w:color="000000"/>
            </w:tcBorders>
          </w:tcPr>
          <w:p>
            <w:pPr>
              <w:pStyle w:val="Compact"/>
              <w:jc w:val="left"/>
            </w:pPr>
            <w:r>
              <w:t xml:space="preserve">5</w:t>
            </w:r>
          </w:p>
        </w:tc>
        <w:tc>
          <w:tcPr>
            <w:tcW w:type="pct" w:w="700"/>
            <w:tcBorders>
              <w:top w:val="single" w:sz="8" w:space="0" w:color="000000"/>
              <w:left w:val="single" w:sz="8" w:space="0" w:color="000000"/>
              <w:bottom w:val="single" w:sz="8" w:space="0" w:color="000000"/>
              <w:right w:val="single" w:sz="8" w:space="0" w:color="000000"/>
            </w:tcBorders>
          </w:tcPr>
          <w:p>
            <w:pPr>
              <w:pStyle w:val="Compact"/>
              <w:jc w:val="left"/>
            </w:pPr>
            <w:r>
              <w:t xml:space="preserve">Only after BAA + consent UI deployed</w:t>
            </w:r>
          </w:p>
        </w:tc>
      </w:tr>
      <w:tr>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HIPAA BAA absent</w:t>
            </w:r>
          </w:p>
        </w:tc>
        <w:tc>
          <w:tcPr>
            <w:tcW w:type="pct" w:w="1900"/>
            <w:tcBorders>
              <w:top w:val="single" w:sz="8" w:space="0" w:color="000000"/>
              <w:left w:val="single" w:sz="8" w:space="0" w:color="000000"/>
              <w:bottom w:val="single" w:sz="8" w:space="0" w:color="000000"/>
              <w:right w:val="single" w:sz="8" w:space="0" w:color="000000"/>
            </w:tcBorders>
          </w:tcPr>
          <w:p>
            <w:pPr>
              <w:pStyle w:val="Compact"/>
              <w:jc w:val="left"/>
            </w:pPr>
            <w:r>
              <w:t xml:space="preserve">BAA with AWS, CockroachDB, Didit required</w:t>
            </w:r>
          </w:p>
        </w:tc>
        <w:tc>
          <w:tcPr>
            <w:tcW w:type="pct" w:w="450"/>
            <w:tcBorders>
              <w:top w:val="single" w:sz="8" w:space="0" w:color="000000"/>
              <w:left w:val="single" w:sz="8" w:space="0" w:color="000000"/>
              <w:bottom w:val="single" w:sz="8" w:space="0" w:color="000000"/>
              <w:right w:val="single" w:sz="8" w:space="0" w:color="000000"/>
            </w:tcBorders>
          </w:tcPr>
          <w:p>
            <w:pPr>
              <w:pStyle w:val="Compact"/>
              <w:jc w:val="left"/>
            </w:pPr>
            <w:r>
              <w:t xml:space="preserve">1</w:t>
            </w:r>
          </w:p>
        </w:tc>
        <w:tc>
          <w:tcPr>
            <w:tcW w:type="pct" w:w="450"/>
            <w:tcBorders>
              <w:top w:val="single" w:sz="8" w:space="0" w:color="000000"/>
              <w:left w:val="single" w:sz="8" w:space="0" w:color="000000"/>
              <w:bottom w:val="single" w:sz="8" w:space="0" w:color="000000"/>
              <w:right w:val="single" w:sz="8" w:space="0" w:color="000000"/>
            </w:tcBorders>
          </w:tcPr>
          <w:p>
            <w:pPr>
              <w:pStyle w:val="Compact"/>
              <w:jc w:val="left"/>
            </w:pPr>
            <w:r>
              <w:t xml:space="preserve">5</w:t>
            </w:r>
          </w:p>
        </w:tc>
        <w:tc>
          <w:tcPr>
            <w:tcW w:type="pct" w:w="700"/>
            <w:tcBorders>
              <w:top w:val="single" w:sz="8" w:space="0" w:color="000000"/>
              <w:left w:val="single" w:sz="8" w:space="0" w:color="000000"/>
              <w:bottom w:val="single" w:sz="8" w:space="0" w:color="000000"/>
              <w:right w:val="single" w:sz="8" w:space="0" w:color="000000"/>
            </w:tcBorders>
          </w:tcPr>
          <w:p>
            <w:pPr>
              <w:pStyle w:val="Compact"/>
              <w:jc w:val="left"/>
            </w:pPr>
            <w:r>
              <w:t xml:space="preserve">Only after signed BAAs on file</w:t>
            </w:r>
          </w:p>
        </w:tc>
      </w:tr>
      <w:tr>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FHIR client secret exposed in CI</w:t>
            </w:r>
          </w:p>
        </w:tc>
        <w:tc>
          <w:tcPr>
            <w:tcW w:type="pct" w:w="1900"/>
            <w:tcBorders>
              <w:top w:val="single" w:sz="8" w:space="0" w:color="000000"/>
              <w:left w:val="single" w:sz="8" w:space="0" w:color="000000"/>
              <w:bottom w:val="single" w:sz="8" w:space="0" w:color="000000"/>
              <w:right w:val="single" w:sz="8" w:space="0" w:color="000000"/>
            </w:tcBorders>
          </w:tcPr>
          <w:p>
            <w:pPr>
              <w:pStyle w:val="Compact"/>
              <w:jc w:val="left"/>
            </w:pPr>
            <w:r>
              <w:rPr>
                <w:rStyle w:val="VerbatimChar"/>
              </w:rPr>
              <w:t xml:space="preserve">VITE_FHIR_CLIENT_ID</w:t>
            </w:r>
            <w:r>
              <w:t xml:space="preserve"> </w:t>
            </w:r>
            <w:r>
              <w:t xml:space="preserve">must be set in secrets; currently empty</w:t>
            </w:r>
          </w:p>
        </w:tc>
        <w:tc>
          <w:tcPr>
            <w:tcW w:type="pct" w:w="45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450"/>
            <w:tcBorders>
              <w:top w:val="single" w:sz="8" w:space="0" w:color="000000"/>
              <w:left w:val="single" w:sz="8" w:space="0" w:color="000000"/>
              <w:bottom w:val="single" w:sz="8" w:space="0" w:color="000000"/>
              <w:right w:val="single" w:sz="8" w:space="0" w:color="000000"/>
            </w:tcBorders>
          </w:tcPr>
          <w:p>
            <w:pPr>
              <w:pStyle w:val="Compact"/>
              <w:jc w:val="left"/>
            </w:pPr>
            <w:r>
              <w:t xml:space="preserve">4</w:t>
            </w:r>
          </w:p>
        </w:tc>
        <w:tc>
          <w:tcPr>
            <w:tcW w:type="pct" w:w="700"/>
            <w:tcBorders>
              <w:top w:val="single" w:sz="8" w:space="0" w:color="000000"/>
              <w:left w:val="single" w:sz="8" w:space="0" w:color="000000"/>
              <w:bottom w:val="single" w:sz="8" w:space="0" w:color="000000"/>
              <w:right w:val="single" w:sz="8" w:space="0" w:color="000000"/>
            </w:tcBorders>
          </w:tcPr>
          <w:p>
            <w:pPr>
              <w:pStyle w:val="Compact"/>
              <w:jc w:val="left"/>
            </w:pPr>
            <w:r>
              <w:t xml:space="preserve">Not acceptable until CI secret populated</w:t>
            </w:r>
          </w:p>
        </w:tc>
      </w:tr>
      <w:tr>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Selective-disclosure category leak</w:t>
            </w:r>
          </w:p>
        </w:tc>
        <w:tc>
          <w:tcPr>
            <w:tcW w:type="pct" w:w="1900"/>
            <w:tcBorders>
              <w:top w:val="single" w:sz="8" w:space="0" w:color="000000"/>
              <w:left w:val="single" w:sz="8" w:space="0" w:color="000000"/>
              <w:bottom w:val="single" w:sz="8" w:space="0" w:color="000000"/>
              <w:right w:val="single" w:sz="8" w:space="0" w:color="000000"/>
            </w:tcBorders>
          </w:tcPr>
          <w:p>
            <w:pPr>
              <w:pStyle w:val="Compact"/>
              <w:jc w:val="left"/>
            </w:pPr>
            <w:r>
              <w:t xml:space="preserve">Stack 4 EHR assertion suite; category filter on reconcile API</w:t>
            </w:r>
          </w:p>
        </w:tc>
        <w:tc>
          <w:tcPr>
            <w:tcW w:type="pct" w:w="450"/>
            <w:tcBorders>
              <w:top w:val="single" w:sz="8" w:space="0" w:color="000000"/>
              <w:left w:val="single" w:sz="8" w:space="0" w:color="000000"/>
              <w:bottom w:val="single" w:sz="8" w:space="0" w:color="000000"/>
              <w:right w:val="single" w:sz="8" w:space="0" w:color="000000"/>
            </w:tcBorders>
          </w:tcPr>
          <w:p>
            <w:pPr>
              <w:pStyle w:val="Compact"/>
              <w:jc w:val="left"/>
            </w:pPr>
            <w:r>
              <w:t xml:space="preserve">1</w:t>
            </w:r>
          </w:p>
        </w:tc>
        <w:tc>
          <w:tcPr>
            <w:tcW w:type="pct" w:w="450"/>
            <w:tcBorders>
              <w:top w:val="single" w:sz="8" w:space="0" w:color="000000"/>
              <w:left w:val="single" w:sz="8" w:space="0" w:color="000000"/>
              <w:bottom w:val="single" w:sz="8" w:space="0" w:color="000000"/>
              <w:right w:val="single" w:sz="8" w:space="0" w:color="000000"/>
            </w:tcBorders>
          </w:tcPr>
          <w:p>
            <w:pPr>
              <w:pStyle w:val="Compact"/>
              <w:jc w:val="left"/>
            </w:pPr>
            <w:r>
              <w:t xml:space="preserve">4</w:t>
            </w:r>
          </w:p>
        </w:tc>
        <w:tc>
          <w:tcPr>
            <w:tcW w:type="pct" w:w="700"/>
            <w:tcBorders>
              <w:top w:val="single" w:sz="8" w:space="0" w:color="000000"/>
              <w:left w:val="single" w:sz="8" w:space="0" w:color="000000"/>
              <w:bottom w:val="single" w:sz="8" w:space="0" w:color="000000"/>
              <w:right w:val="single" w:sz="8" w:space="0" w:color="000000"/>
            </w:tcBorders>
          </w:tcPr>
          <w:p>
            <w:pPr>
              <w:pStyle w:val="Compact"/>
              <w:jc w:val="left"/>
            </w:pPr>
            <w:r>
              <w:t xml:space="preserve">Yes after EHR assertions pass</w:t>
            </w:r>
          </w:p>
        </w:tc>
      </w:tr>
      <w:tr>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Incomplete EHR erasure (FHIR-side)</w:t>
            </w:r>
          </w:p>
        </w:tc>
        <w:tc>
          <w:tcPr>
            <w:tcW w:type="pct" w:w="1900"/>
            <w:tcBorders>
              <w:top w:val="single" w:sz="8" w:space="0" w:color="000000"/>
              <w:left w:val="single" w:sz="8" w:space="0" w:color="000000"/>
              <w:bottom w:val="single" w:sz="8" w:space="0" w:color="000000"/>
              <w:right w:val="single" w:sz="8" w:space="0" w:color="000000"/>
            </w:tcBorders>
          </w:tcPr>
          <w:p>
            <w:pPr>
              <w:pStyle w:val="Compact"/>
              <w:jc w:val="left"/>
            </w:pPr>
            <w:r>
              <w:t xml:space="preserve">Operator must revoke Epic SMART token + delete local authorisation on withdrawal</w:t>
            </w:r>
          </w:p>
        </w:tc>
        <w:tc>
          <w:tcPr>
            <w:tcW w:type="pct" w:w="45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450"/>
            <w:tcBorders>
              <w:top w:val="single" w:sz="8" w:space="0" w:color="000000"/>
              <w:left w:val="single" w:sz="8" w:space="0" w:color="000000"/>
              <w:bottom w:val="single" w:sz="8" w:space="0" w:color="000000"/>
              <w:right w:val="single" w:sz="8" w:space="0" w:color="000000"/>
            </w:tcBorders>
          </w:tcPr>
          <w:p>
            <w:pPr>
              <w:pStyle w:val="Compact"/>
              <w:jc w:val="left"/>
            </w:pPr>
            <w:r>
              <w:t xml:space="preserve">4</w:t>
            </w:r>
          </w:p>
        </w:tc>
        <w:tc>
          <w:tcPr>
            <w:tcW w:type="pct" w:w="700"/>
            <w:tcBorders>
              <w:top w:val="single" w:sz="8" w:space="0" w:color="000000"/>
              <w:left w:val="single" w:sz="8" w:space="0" w:color="000000"/>
              <w:bottom w:val="single" w:sz="8" w:space="0" w:color="000000"/>
              <w:right w:val="single" w:sz="8" w:space="0" w:color="000000"/>
            </w:tcBorders>
          </w:tcPr>
          <w:p>
            <w:pPr>
              <w:pStyle w:val="Compact"/>
              <w:jc w:val="left"/>
            </w:pPr>
            <w:r>
              <w:t xml:space="preserve">Operator obligation; not fully automatable</w:t>
            </w:r>
          </w:p>
        </w:tc>
      </w:tr>
    </w:tbl>
    <w:p>
      <w:pPr>
        <w:pStyle w:val="BodyText"/>
      </w:pPr>
      <w:r>
        <w:rPr>
          <w:b/>
          <w:bCs/>
        </w:rPr>
        <w:t xml:space="preserve">EHR extension verdict:</w:t>
      </w:r>
      <w:r>
        <w:t xml:space="preserve"> </w:t>
      </w:r>
      <w:r>
        <w:t xml:space="preserve">The shystore structural layer (two-list invariant, sealed payload, Art. 17 erasure) is sufficient as the data-minimisation foundation for EHR deployments. Production readiness requires: (1) Art. 9(2)(a) consent UI and consent record endpoint verified in Stack 4; (2) signed BAAs with all three sub-processors; (3)</w:t>
      </w:r>
      <w:r>
        <w:t xml:space="preserve"> </w:t>
      </w:r>
      <w:r>
        <w:rPr>
          <w:rStyle w:val="VerbatimChar"/>
        </w:rPr>
        <w:t xml:space="preserve">VITE_FHIR_CLIENT_ID</w:t>
      </w:r>
      <w:r>
        <w:t xml:space="preserve"> </w:t>
      </w:r>
      <w:r>
        <w:t xml:space="preserve">populated in CI; (4) Epic SMART on FHIR token-revocation procedure documented in the operator runbook.</w:t>
      </w:r>
    </w:p>
    <w:bookmarkEnd w:id="21"/>
    <w:bookmarkEnd w:id="22"/>
    <w:sectPr w:rsidR="0042614C" w:rsidSect="004E12AC">
      <w:footerReference r:id="rId8" w:type="default"/>
      <w:headerReference r:id="rId9" w:type="first"/>
      <w:pgSz w:h="16838" w:w="11906"/>
      <w:pgMar w:bottom="1440" w:footer="737" w:gutter="0" w:header="360" w:left="1440" w:right="1440" w:top="1440"/>
      <w:pgNumType w:start="2"/>
      <w:cols w:space="708"/>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5263369"/>
      <w:docPartObj>
        <w:docPartGallery w:val="Page Numbers (Bottom of Page)"/>
        <w:docPartUnique/>
      </w:docPartObj>
    </w:sdtPr>
    <w:sdtEndPr/>
    <w:sdtContent>
      <w:p w14:paraId="72363A71" w14:textId="7410E4AE" w:rsidR="00595B8E" w:rsidRDefault="00595B8E" w:rsidP="00E41CC7">
        <w:pPr>
          <w:pStyle w:val="FooterEDPB"/>
        </w:pPr>
        <w:r w:rsidRPr="004722AF">
          <w:rPr>
            <w:rStyle w:val="FooterEDPBChar"/>
            <w:noProof/>
            <w:lang w:eastAsia="en-GB"/>
          </w:rPr>
          <w:drawing>
            <wp:anchor distT="0" distB="0" distL="114300" distR="114300" simplePos="0" relativeHeight="251656704" behindDoc="0" locked="0" layoutInCell="1" allowOverlap="1" wp14:anchorId="260A661A" wp14:editId="77FBAFAF">
              <wp:simplePos x="0" y="0"/>
              <wp:positionH relativeFrom="column">
                <wp:posOffset>3943020</wp:posOffset>
              </wp:positionH>
              <wp:positionV relativeFrom="paragraph">
                <wp:posOffset>39708</wp:posOffset>
              </wp:positionV>
              <wp:extent cx="2255844" cy="137424"/>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European-Data-Protection-Board.png"/>
                      <pic:cNvPicPr/>
                    </pic:nvPicPr>
                    <pic:blipFill rotWithShape="1">
                      <a:blip r:embed="rId1">
                        <a:extLst>
                          <a:ext uri="{28A0092B-C50C-407E-A947-70E740481C1C}">
                            <a14:useLocalDpi xmlns:a14="http://schemas.microsoft.com/office/drawing/2010/main" val="0"/>
                          </a:ext>
                        </a:extLst>
                      </a:blip>
                      <a:srcRect t="22364" b="12716"/>
                      <a:stretch/>
                    </pic:blipFill>
                    <pic:spPr bwMode="auto">
                      <a:xfrm>
                        <a:off x="0" y="0"/>
                        <a:ext cx="2266195" cy="1380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4722AF">
          <w:rPr>
            <w:rStyle w:val="FooterEDPBChar"/>
          </w:rPr>
          <w:fldChar w:fldCharType="begin"/>
        </w:r>
        <w:r w:rsidRPr="004722AF">
          <w:rPr>
            <w:rStyle w:val="FooterEDPBChar"/>
          </w:rPr>
          <w:instrText xml:space="preserve"> PAGE   \* MERGEFORMAT </w:instrText>
        </w:r>
        <w:r w:rsidRPr="004722AF">
          <w:rPr>
            <w:rStyle w:val="FooterEDPBChar"/>
          </w:rPr>
          <w:fldChar w:fldCharType="separate"/>
        </w:r>
        <w:r w:rsidR="004E12AC">
          <w:rPr>
            <w:rStyle w:val="FooterEDPBChar"/>
            <w:noProof/>
          </w:rPr>
          <w:t>14</w:t>
        </w:r>
        <w:r w:rsidRPr="004722AF">
          <w:rPr>
            <w:rStyle w:val="FooterEDPBChar"/>
          </w:rPr>
          <w:fldChar w:fldCharType="end"/>
        </w:r>
        <w:r w:rsidRPr="004722AF">
          <w:rPr>
            <w:rStyle w:val="FooterEDPBChar"/>
          </w:rPr>
          <w:t xml:space="preserve"> |</w:t>
        </w:r>
        <w:r w:rsidR="001C2895">
          <w:rPr>
            <w:rStyle w:val="FooterEDPBChar"/>
          </w:rPr>
          <w:t xml:space="preserve"> Adopted</w:t>
        </w:r>
        <w:r w:rsidRPr="004722AF">
          <w:rPr>
            <w:rStyle w:val="FooterEDPBChar"/>
          </w:rPr>
          <w:t xml:space="preserve"> </w:t>
        </w:r>
      </w:p>
    </w:sdtContent>
  </w:sdt>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r="http://schemas.openxmlformats.org/officeDocument/2006/relationships" xmlns:wp="http://schemas.openxmlformats.org/drawingml/2006/wordprocessingDrawing" xmlns:wp14="http://schemas.microsoft.com/office/word/2010/wordprocessingDrawing" xmlns:w="http://schemas.openxmlformats.org/wordprocessingml/2006/main" xmlns:w14="http://schemas.microsoft.com/office/word/2010/wordml" xmlns:wps="http://schemas.microsoft.com/office/word/2010/wordprocessingShape" xmlns:a="http://schemas.openxmlformats.org/drawingml/2006/main" mc:Ignorable="w14 wp14">
  <w:p>
    <w:pPr>
      <w:pStyle w:val="Header"/>
      <w:jc w:val="right"/>
      <w:spacing w:before="60" w:after="60"/>
    </w:pPr>
    <w:r>
      <w:rPr>
        <w:noProof/>
      </w:rPr>
      <w:drawing>
        <wp:anchor distT="0" distB="0" distL="0" distR="0" simplePos="0" relativeHeight="251660800" behindDoc="1" locked="1" layoutInCell="1" allowOverlap="0" wp14:anchorId="0F49D875" wp14:editId="1F01C477">
          <wp:simplePos x="0" y="0"/>
          <wp:positionH relativeFrom="page">
            <wp:align>left</wp:align>
          </wp:positionH>
          <wp:positionV relativeFrom="page">
            <wp:align>top</wp:align>
          </wp:positionV>
          <wp:extent cx="7552055" cy="975360"/>
          <wp:effectExtent l="0" t="0" r="0" b="0"/>
          <wp:wrapNone/>
          <wp:docPr id="4" name="HeaderBar"/>
          <wp:cNvGraphicFramePr/>
          <a:graphic>
            <a:graphicData uri="http://schemas.microsoft.com/office/word/2010/wordprocessingShape">
              <wps:wsp>
                <wps:cNvSpPr>
                  <a:spLocks noChangeArrowheads="1"/>
                </wps:cNvSpPr>
                <wps:spPr>
                  <a:xfrm>
                    <a:off x="0" y="0"/>
                    <a:ext cx="7552055" cy="975360"/>
                  </a:xfrm>
                  <a:prstGeom prst="rect">
                    <a:avLst/>
                  </a:prstGeom>
                  <a:solidFill>
                    <a:srgbClr val="CCFF66"/>
                  </a:solidFill>
                  <a:ln>
                    <a:noFill/>
                  </a:ln>
                </wps:spPr>
                <wps:bodyPr/>
              </wps:wsp>
            </a:graphicData>
          </a:graphic>
        </wp:anchor>
      </w:drawing>
    </w:r>
    <w:r>
      <w:rPr>
        <w:rFonts w:ascii="Glory" w:hAnsi="Glory" w:cs="Glory"/>
        <w:b/>
        <w:color w:val="0F172A"/>
        <w:sz w:val="14"/>
        <w:szCs w:val="14"/>
      </w:rPr>
      <w:t xml:space="preserve">co-mission — Shyware Domain DPIA</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527542"/>
    <w:multiLevelType w:val="hybridMultilevel"/>
    <w:tmpl w:val="356E4B16"/>
    <w:lvl w:ilvl="0" w:tplc="0332DB7E">
      <w:start w:val="1"/>
      <w:numFmt w:val="decimal"/>
      <w:pStyle w:val="Listofnumbers-EDPB"/>
      <w:lvlText w:val="%1"/>
      <w:lvlJc w:val="left"/>
      <w:pPr>
        <w:ind w:hanging="360" w:left="720"/>
      </w:pPr>
      <w:rPr>
        <w:rFonts w:ascii="Arial" w:cs="Calibri" w:hAnsi="Arial" w:hint="default"/>
        <w:b w:val="0"/>
        <w:bCs w:val="0"/>
        <w:i w:val="0"/>
        <w:iCs w:val="0"/>
        <w:caps w:val="0"/>
        <w:strike w:val="0"/>
        <w:dstrike w:val="0"/>
        <w:outline w:val="0"/>
        <w:shadow w:val="0"/>
        <w:emboss w:val="0"/>
        <w:imprint w:val="0"/>
        <w:vanish w:val="0"/>
        <w:color w:themeColor="text1" w:val="000000"/>
        <w:spacing w:val="0"/>
        <w:kern w:val="0"/>
        <w:position w:val="0"/>
        <w:sz w:val="22"/>
        <w:szCs w:val="22"/>
        <w:u w:val="none"/>
        <w:effect w:val="none"/>
        <w:vertAlign w:val="baseline"/>
        <w14:ligatures w14:val="none"/>
        <w14:numForm w14:val="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
    <w:nsid w:val="023A14D8"/>
    <w:multiLevelType w:val="hybridMultilevel"/>
    <w:tmpl w:val="A950F1F4"/>
    <w:lvl w:ilvl="0" w:tplc="08090003">
      <w:start w:val="1"/>
      <w:numFmt w:val="bullet"/>
      <w:lvlText w:val="o"/>
      <w:lvlJc w:val="left"/>
      <w:pPr>
        <w:ind w:hanging="360" w:left="720"/>
      </w:pPr>
      <w:rPr>
        <w:rFonts w:ascii="Courier New" w:cs="Courier New" w:hAnsi="Courier New"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
    <w:nsid w:val="0E0224D6"/>
    <w:multiLevelType w:val="multilevel"/>
    <w:tmpl w:val="C70EEC7E"/>
    <w:lvl w:ilvl="0">
      <w:numFmt w:val="decimal"/>
      <w:lvlText w:val="%1"/>
      <w:lvlJc w:val="left"/>
      <w:pPr>
        <w:ind w:hanging="360" w:left="360"/>
      </w:pPr>
      <w:rPr>
        <w:rFonts w:hint="default"/>
      </w:rPr>
    </w:lvl>
    <w:lvl w:ilvl="1">
      <w:start w:val="3"/>
      <w:numFmt w:val="decimal"/>
      <w:lvlText w:val="%1.%2"/>
      <w:lvlJc w:val="left"/>
      <w:pPr>
        <w:ind w:hanging="360" w:left="36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720" w:left="72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440" w:left="144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800" w:left="1800"/>
      </w:pPr>
      <w:rPr>
        <w:rFonts w:hint="default"/>
      </w:rPr>
    </w:lvl>
    <w:lvl w:ilvl="8">
      <w:start w:val="1"/>
      <w:numFmt w:val="decimal"/>
      <w:lvlText w:val="%1.%2.%3.%4.%5.%6.%7.%8.%9"/>
      <w:lvlJc w:val="left"/>
      <w:pPr>
        <w:ind w:hanging="1800" w:left="1800"/>
      </w:pPr>
      <w:rPr>
        <w:rFonts w:hint="default"/>
      </w:rPr>
    </w:lvl>
  </w:abstractNum>
  <w:abstractNum w15:restartNumberingAfterBreak="0" w:abstractNumId="3">
    <w:nsid w:val="11ED5838"/>
    <w:multiLevelType w:val="hybridMultilevel"/>
    <w:tmpl w:val="3384B8BE"/>
    <w:lvl w:ilvl="0" w:tplc="08090003">
      <w:start w:val="1"/>
      <w:numFmt w:val="bullet"/>
      <w:lvlText w:val="o"/>
      <w:lvlJc w:val="left"/>
      <w:pPr>
        <w:ind w:hanging="360" w:left="720"/>
      </w:pPr>
      <w:rPr>
        <w:rFonts w:ascii="Courier New" w:cs="Courier New" w:hAnsi="Courier New" w:hint="default"/>
      </w:rPr>
    </w:lvl>
    <w:lvl w:ilvl="1" w:tentative="1" w:tplc="FFFFFFFF">
      <w:start w:val="1"/>
      <w:numFmt w:val="lowerLetter"/>
      <w:lvlText w:val="%2."/>
      <w:lvlJc w:val="left"/>
      <w:pPr>
        <w:ind w:hanging="360" w:left="1440"/>
      </w:pPr>
    </w:lvl>
    <w:lvl w:ilvl="2" w:tentative="1" w:tplc="FFFFFFFF">
      <w:start w:val="1"/>
      <w:numFmt w:val="lowerRoman"/>
      <w:lvlText w:val="%3."/>
      <w:lvlJc w:val="right"/>
      <w:pPr>
        <w:ind w:hanging="180" w:left="2160"/>
      </w:pPr>
    </w:lvl>
    <w:lvl w:ilvl="3" w:tentative="1" w:tplc="FFFFFFFF">
      <w:start w:val="1"/>
      <w:numFmt w:val="decimal"/>
      <w:lvlText w:val="%4."/>
      <w:lvlJc w:val="left"/>
      <w:pPr>
        <w:ind w:hanging="360" w:left="2880"/>
      </w:pPr>
    </w:lvl>
    <w:lvl w:ilvl="4" w:tentative="1" w:tplc="FFFFFFFF">
      <w:start w:val="1"/>
      <w:numFmt w:val="lowerLetter"/>
      <w:lvlText w:val="%5."/>
      <w:lvlJc w:val="left"/>
      <w:pPr>
        <w:ind w:hanging="360" w:left="3600"/>
      </w:pPr>
    </w:lvl>
    <w:lvl w:ilvl="5" w:tentative="1" w:tplc="FFFFFFFF">
      <w:start w:val="1"/>
      <w:numFmt w:val="lowerRoman"/>
      <w:lvlText w:val="%6."/>
      <w:lvlJc w:val="right"/>
      <w:pPr>
        <w:ind w:hanging="180" w:left="4320"/>
      </w:pPr>
    </w:lvl>
    <w:lvl w:ilvl="6" w:tentative="1" w:tplc="FFFFFFFF">
      <w:start w:val="1"/>
      <w:numFmt w:val="decimal"/>
      <w:lvlText w:val="%7."/>
      <w:lvlJc w:val="left"/>
      <w:pPr>
        <w:ind w:hanging="360" w:left="5040"/>
      </w:pPr>
    </w:lvl>
    <w:lvl w:ilvl="7" w:tentative="1" w:tplc="FFFFFFFF">
      <w:start w:val="1"/>
      <w:numFmt w:val="lowerLetter"/>
      <w:lvlText w:val="%8."/>
      <w:lvlJc w:val="left"/>
      <w:pPr>
        <w:ind w:hanging="360" w:left="5760"/>
      </w:pPr>
    </w:lvl>
    <w:lvl w:ilvl="8" w:tentative="1" w:tplc="FFFFFFFF">
      <w:start w:val="1"/>
      <w:numFmt w:val="lowerRoman"/>
      <w:lvlText w:val="%9."/>
      <w:lvlJc w:val="right"/>
      <w:pPr>
        <w:ind w:hanging="180" w:left="6480"/>
      </w:pPr>
    </w:lvl>
  </w:abstractNum>
  <w:abstractNum w15:restartNumberingAfterBreak="0" w:abstractNumId="4">
    <w:nsid w:val="19BD0E53"/>
    <w:multiLevelType w:val="hybridMultilevel"/>
    <w:tmpl w:val="521EAEF8"/>
    <w:lvl w:ilvl="0" w:tplc="08090003">
      <w:start w:val="1"/>
      <w:numFmt w:val="bullet"/>
      <w:lvlText w:val="o"/>
      <w:lvlJc w:val="left"/>
      <w:pPr>
        <w:ind w:hanging="360" w:left="720"/>
      </w:pPr>
      <w:rPr>
        <w:rFonts w:ascii="Courier New" w:cs="Courier New" w:hAnsi="Courier New"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5">
    <w:nsid w:val="2C3816A7"/>
    <w:multiLevelType w:val="hybridMultilevel"/>
    <w:tmpl w:val="0BDAF450"/>
    <w:lvl w:ilvl="0" w:tplc="3B9EB0B4">
      <w:start w:val="1"/>
      <w:numFmt w:val="decimal"/>
      <w:lvlText w:val="%1."/>
      <w:lvlJc w:val="left"/>
      <w:pPr>
        <w:ind w:hanging="360" w:left="360"/>
      </w:pPr>
      <w:rPr>
        <w:rFonts w:hint="default"/>
        <w:b/>
        <w:bCs/>
      </w:rPr>
    </w:lvl>
    <w:lvl w:ilvl="1" w:tentative="1" w:tplc="0C0A0019">
      <w:start w:val="1"/>
      <w:numFmt w:val="lowerLetter"/>
      <w:lvlText w:val="%2."/>
      <w:lvlJc w:val="left"/>
      <w:pPr>
        <w:ind w:hanging="360" w:left="1080"/>
      </w:pPr>
    </w:lvl>
    <w:lvl w:ilvl="2" w:tentative="1" w:tplc="0C0A001B">
      <w:start w:val="1"/>
      <w:numFmt w:val="lowerRoman"/>
      <w:lvlText w:val="%3."/>
      <w:lvlJc w:val="right"/>
      <w:pPr>
        <w:ind w:hanging="180" w:left="1800"/>
      </w:pPr>
    </w:lvl>
    <w:lvl w:ilvl="3" w:tentative="1" w:tplc="0C0A000F">
      <w:start w:val="1"/>
      <w:numFmt w:val="decimal"/>
      <w:lvlText w:val="%4."/>
      <w:lvlJc w:val="left"/>
      <w:pPr>
        <w:ind w:hanging="360" w:left="2520"/>
      </w:pPr>
    </w:lvl>
    <w:lvl w:ilvl="4" w:tentative="1" w:tplc="0C0A0019">
      <w:start w:val="1"/>
      <w:numFmt w:val="lowerLetter"/>
      <w:lvlText w:val="%5."/>
      <w:lvlJc w:val="left"/>
      <w:pPr>
        <w:ind w:hanging="360" w:left="3240"/>
      </w:pPr>
    </w:lvl>
    <w:lvl w:ilvl="5" w:tentative="1" w:tplc="0C0A001B">
      <w:start w:val="1"/>
      <w:numFmt w:val="lowerRoman"/>
      <w:lvlText w:val="%6."/>
      <w:lvlJc w:val="right"/>
      <w:pPr>
        <w:ind w:hanging="180" w:left="3960"/>
      </w:pPr>
    </w:lvl>
    <w:lvl w:ilvl="6" w:tentative="1" w:tplc="0C0A000F">
      <w:start w:val="1"/>
      <w:numFmt w:val="decimal"/>
      <w:lvlText w:val="%7."/>
      <w:lvlJc w:val="left"/>
      <w:pPr>
        <w:ind w:hanging="360" w:left="4680"/>
      </w:pPr>
    </w:lvl>
    <w:lvl w:ilvl="7" w:tentative="1" w:tplc="0C0A0019">
      <w:start w:val="1"/>
      <w:numFmt w:val="lowerLetter"/>
      <w:lvlText w:val="%8."/>
      <w:lvlJc w:val="left"/>
      <w:pPr>
        <w:ind w:hanging="360" w:left="5400"/>
      </w:pPr>
    </w:lvl>
    <w:lvl w:ilvl="8" w:tentative="1" w:tplc="0C0A001B">
      <w:start w:val="1"/>
      <w:numFmt w:val="lowerRoman"/>
      <w:lvlText w:val="%9."/>
      <w:lvlJc w:val="right"/>
      <w:pPr>
        <w:ind w:hanging="180" w:left="6120"/>
      </w:pPr>
    </w:lvl>
  </w:abstractNum>
  <w:abstractNum w15:restartNumberingAfterBreak="0" w:abstractNumId="6">
    <w:nsid w:val="470A105A"/>
    <w:multiLevelType w:val="hybridMultilevel"/>
    <w:tmpl w:val="14B60DA2"/>
    <w:lvl w:ilvl="0" w:tplc="3F54FD6C">
      <w:start w:val="1"/>
      <w:numFmt w:val="decimal"/>
      <w:pStyle w:val="NumberedParagraph"/>
      <w:lvlText w:val="(%1)"/>
      <w:lvlJc w:val="left"/>
      <w:pPr>
        <w:ind w:hanging="360" w:left="360"/>
      </w:pPr>
      <w:rPr>
        <w:rFonts w:ascii="Arial" w:cs="Calibri" w:hAnsi="Arial" w:hint="default"/>
        <w:b w:val="0"/>
        <w:bCs w:val="0"/>
        <w:i w:val="0"/>
        <w:iCs w:val="0"/>
        <w:caps w:val="0"/>
        <w:smallCaps w:val="0"/>
        <w:strike w:val="0"/>
        <w:dstrike w:val="0"/>
        <w:outline w:val="0"/>
        <w:shadow w:val="0"/>
        <w:emboss w:val="0"/>
        <w:imprint w:val="0"/>
        <w:vanish w:val="0"/>
        <w:color w:themeColor="text1" w:val="000000"/>
        <w:spacing w:val="0"/>
        <w:kern w:val="0"/>
        <w:position w:val="0"/>
        <w:sz w:val="24"/>
        <w:szCs w:val="22"/>
        <w:u w:val="none"/>
        <w:effect w:val="none"/>
        <w:vertAlign w:val="baseline"/>
        <w14:ligatures w14:val="none"/>
        <w14:numForm w14:val="default"/>
      </w:rPr>
    </w:lvl>
    <w:lvl w:ilvl="1" w:tplc="250CAAB8">
      <w:numFmt w:val="bullet"/>
      <w:lvlText w:val="-"/>
      <w:lvlJc w:val="left"/>
      <w:pPr>
        <w:ind w:hanging="360" w:left="447"/>
      </w:pPr>
      <w:rPr>
        <w:rFonts w:ascii="Calibri" w:eastAsia="Times New Roman" w:hAnsi="Calibri" w:hint="default"/>
      </w:rPr>
    </w:lvl>
    <w:lvl w:ilvl="2" w:tentative="1" w:tplc="0809001B">
      <w:start w:val="1"/>
      <w:numFmt w:val="lowerRoman"/>
      <w:lvlText w:val="%3."/>
      <w:lvlJc w:val="right"/>
      <w:pPr>
        <w:ind w:hanging="180" w:left="1167"/>
      </w:pPr>
      <w:rPr>
        <w:rFonts w:cs="Times New Roman"/>
      </w:rPr>
    </w:lvl>
    <w:lvl w:ilvl="3" w:tentative="1" w:tplc="0809000F">
      <w:start w:val="1"/>
      <w:numFmt w:val="decimal"/>
      <w:lvlText w:val="%4."/>
      <w:lvlJc w:val="left"/>
      <w:pPr>
        <w:ind w:hanging="360" w:left="1887"/>
      </w:pPr>
      <w:rPr>
        <w:rFonts w:cs="Times New Roman"/>
      </w:rPr>
    </w:lvl>
    <w:lvl w:ilvl="4" w:tplc="08090019">
      <w:start w:val="1"/>
      <w:numFmt w:val="lowerLetter"/>
      <w:lvlText w:val="%5."/>
      <w:lvlJc w:val="left"/>
      <w:pPr>
        <w:ind w:hanging="360" w:left="2607"/>
      </w:pPr>
      <w:rPr>
        <w:rFonts w:cs="Times New Roman"/>
      </w:rPr>
    </w:lvl>
    <w:lvl w:ilvl="5" w:tentative="1" w:tplc="0809001B">
      <w:start w:val="1"/>
      <w:numFmt w:val="lowerRoman"/>
      <w:lvlText w:val="%6."/>
      <w:lvlJc w:val="right"/>
      <w:pPr>
        <w:ind w:hanging="180" w:left="3327"/>
      </w:pPr>
      <w:rPr>
        <w:rFonts w:cs="Times New Roman"/>
      </w:rPr>
    </w:lvl>
    <w:lvl w:ilvl="6" w:tentative="1" w:tplc="0809000F">
      <w:start w:val="1"/>
      <w:numFmt w:val="decimal"/>
      <w:lvlText w:val="%7."/>
      <w:lvlJc w:val="left"/>
      <w:pPr>
        <w:ind w:hanging="360" w:left="4047"/>
      </w:pPr>
      <w:rPr>
        <w:rFonts w:cs="Times New Roman"/>
      </w:rPr>
    </w:lvl>
    <w:lvl w:ilvl="7" w:tentative="1" w:tplc="08090019">
      <w:start w:val="1"/>
      <w:numFmt w:val="lowerLetter"/>
      <w:lvlText w:val="%8."/>
      <w:lvlJc w:val="left"/>
      <w:pPr>
        <w:ind w:hanging="360" w:left="4767"/>
      </w:pPr>
      <w:rPr>
        <w:rFonts w:cs="Times New Roman"/>
      </w:rPr>
    </w:lvl>
    <w:lvl w:ilvl="8" w:tentative="1" w:tplc="0809001B">
      <w:start w:val="1"/>
      <w:numFmt w:val="lowerRoman"/>
      <w:lvlText w:val="%9."/>
      <w:lvlJc w:val="right"/>
      <w:pPr>
        <w:ind w:hanging="180" w:left="5487"/>
      </w:pPr>
      <w:rPr>
        <w:rFonts w:cs="Times New Roman"/>
      </w:rPr>
    </w:lvl>
  </w:abstractNum>
  <w:abstractNum w15:restartNumberingAfterBreak="0" w:abstractNumId="7">
    <w:nsid w:val="4E3B6CDB"/>
    <w:multiLevelType w:val="multilevel"/>
    <w:tmpl w:val="BE0EAF1A"/>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8">
    <w:nsid w:val="57F76DF2"/>
    <w:multiLevelType w:val="hybridMultilevel"/>
    <w:tmpl w:val="AF0497B4"/>
    <w:lvl w:ilvl="0" w:tplc="4E463AC6">
      <w:start w:val="1"/>
      <w:numFmt w:val="bullet"/>
      <w:pStyle w:val="Listbullets-EDPB"/>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9">
    <w:nsid w:val="5E20358E"/>
    <w:multiLevelType w:val="multilevel"/>
    <w:tmpl w:val="723E238C"/>
    <w:lvl w:ilvl="0">
      <w:numFmt w:val="decimal"/>
      <w:lvlText w:val="%1"/>
      <w:lvlJc w:val="left"/>
      <w:pPr>
        <w:ind w:hanging="360" w:left="360"/>
      </w:pPr>
      <w:rPr>
        <w:rFonts w:hint="default"/>
      </w:rPr>
    </w:lvl>
    <w:lvl w:ilvl="1">
      <w:start w:val="1"/>
      <w:numFmt w:val="decimal"/>
      <w:isLgl/>
      <w:lvlText w:val="%1.%2"/>
      <w:lvlJc w:val="left"/>
      <w:pPr>
        <w:ind w:hanging="360" w:left="360"/>
      </w:pPr>
      <w:rPr>
        <w:rFonts w:hint="default"/>
      </w:rPr>
    </w:lvl>
    <w:lvl w:ilvl="2">
      <w:start w:val="1"/>
      <w:numFmt w:val="decimal"/>
      <w:isLgl/>
      <w:lvlText w:val="%1.%2.%3"/>
      <w:lvlJc w:val="left"/>
      <w:pPr>
        <w:ind w:hanging="720" w:left="720"/>
      </w:pPr>
      <w:rPr>
        <w:rFonts w:hint="default"/>
      </w:rPr>
    </w:lvl>
    <w:lvl w:ilvl="3">
      <w:start w:val="1"/>
      <w:numFmt w:val="decimal"/>
      <w:isLgl/>
      <w:lvlText w:val="%1.%2.%3.%4"/>
      <w:lvlJc w:val="left"/>
      <w:pPr>
        <w:ind w:hanging="720" w:left="720"/>
      </w:pPr>
      <w:rPr>
        <w:rFonts w:hint="default"/>
      </w:rPr>
    </w:lvl>
    <w:lvl w:ilvl="4">
      <w:start w:val="1"/>
      <w:numFmt w:val="decimal"/>
      <w:isLgl/>
      <w:lvlText w:val="%1.%2.%3.%4.%5"/>
      <w:lvlJc w:val="left"/>
      <w:pPr>
        <w:ind w:hanging="1080" w:left="1080"/>
      </w:pPr>
      <w:rPr>
        <w:rFonts w:hint="default"/>
      </w:rPr>
    </w:lvl>
    <w:lvl w:ilvl="5">
      <w:start w:val="1"/>
      <w:numFmt w:val="decimal"/>
      <w:isLgl/>
      <w:lvlText w:val="%1.%2.%3.%4.%5.%6"/>
      <w:lvlJc w:val="left"/>
      <w:pPr>
        <w:ind w:hanging="1080" w:left="1080"/>
      </w:pPr>
      <w:rPr>
        <w:rFonts w:hint="default"/>
      </w:rPr>
    </w:lvl>
    <w:lvl w:ilvl="6">
      <w:start w:val="1"/>
      <w:numFmt w:val="decimal"/>
      <w:isLgl/>
      <w:lvlText w:val="%1.%2.%3.%4.%5.%6.%7"/>
      <w:lvlJc w:val="left"/>
      <w:pPr>
        <w:ind w:hanging="1440" w:left="1440"/>
      </w:pPr>
      <w:rPr>
        <w:rFonts w:hint="default"/>
      </w:rPr>
    </w:lvl>
    <w:lvl w:ilvl="7">
      <w:start w:val="1"/>
      <w:numFmt w:val="decimal"/>
      <w:isLgl/>
      <w:lvlText w:val="%1.%2.%3.%4.%5.%6.%7.%8"/>
      <w:lvlJc w:val="left"/>
      <w:pPr>
        <w:ind w:hanging="1440" w:left="1440"/>
      </w:pPr>
      <w:rPr>
        <w:rFonts w:hint="default"/>
      </w:rPr>
    </w:lvl>
    <w:lvl w:ilvl="8">
      <w:start w:val="1"/>
      <w:numFmt w:val="decimal"/>
      <w:isLgl/>
      <w:lvlText w:val="%1.%2.%3.%4.%5.%6.%7.%8.%9"/>
      <w:lvlJc w:val="left"/>
      <w:pPr>
        <w:ind w:hanging="1440" w:left="1440"/>
      </w:pPr>
      <w:rPr>
        <w:rFonts w:hint="default"/>
      </w:rPr>
    </w:lvl>
  </w:abstractNum>
  <w:abstractNum w15:restartNumberingAfterBreak="0" w:abstractNumId="10">
    <w:nsid w:val="64D63807"/>
    <w:multiLevelType w:val="multilevel"/>
    <w:tmpl w:val="8056077E"/>
    <w:lvl w:ilvl="0">
      <w:start w:val="1"/>
      <w:numFmt w:val="decimal"/>
      <w:pStyle w:val="AnnexH1EDPB"/>
      <w:suff w:val="space"/>
      <w:lvlText w:val="Annex %1 "/>
      <w:lvlJc w:val="left"/>
      <w:pPr>
        <w:ind w:hanging="432" w:left="432"/>
      </w:pPr>
      <w:rPr>
        <w:rFonts w:ascii="Arial" w:hAnsi="Arial" w:hint="default"/>
        <w:b/>
        <w:i w:val="0"/>
        <w:caps w:val="0"/>
        <w:vanish w:val="0"/>
        <w:color w:themeColor="accent1" w:val="0A105D"/>
        <w:sz w:val="32"/>
      </w:rPr>
    </w:lvl>
    <w:lvl w:ilvl="1">
      <w:start w:val="1"/>
      <w:numFmt w:val="decimal"/>
      <w:lvlText w:val="%1.%2"/>
      <w:lvlJc w:val="left"/>
      <w:pPr>
        <w:ind w:hanging="576" w:left="576"/>
      </w:pPr>
      <w:rPr>
        <w:rFonts w:ascii="Arial" w:hAnsi="Arial" w:hint="default"/>
        <w:b/>
        <w:i w:val="0"/>
        <w:color w:themeColor="accent1" w:val="0A105D"/>
        <w:sz w:val="28"/>
      </w:rPr>
    </w:lvl>
    <w:lvl w:ilvl="2">
      <w:start w:val="1"/>
      <w:numFmt w:val="decimal"/>
      <w:lvlText w:val="%1.%2.%3"/>
      <w:lvlJc w:val="left"/>
      <w:pPr>
        <w:ind w:hanging="720" w:left="720"/>
      </w:pPr>
      <w:rPr>
        <w:rFonts w:hint="default"/>
      </w:rPr>
    </w:lvl>
    <w:lvl w:ilvl="3">
      <w:start w:val="1"/>
      <w:numFmt w:val="decimal"/>
      <w:lvlText w:val="%1.%2.%3.%4"/>
      <w:lvlJc w:val="left"/>
      <w:pPr>
        <w:ind w:hanging="864" w:left="864"/>
      </w:pPr>
      <w:rPr>
        <w:rFonts w:hint="default"/>
      </w:rPr>
    </w:lvl>
    <w:lvl w:ilvl="4">
      <w:start w:val="1"/>
      <w:numFmt w:val="decimal"/>
      <w:lvlText w:val="%1.%2.%3.%4.%5"/>
      <w:lvlJc w:val="left"/>
      <w:pPr>
        <w:ind w:hanging="1008" w:left="1008"/>
      </w:pPr>
      <w:rPr>
        <w:rFonts w:hint="default"/>
      </w:rPr>
    </w:lvl>
    <w:lvl w:ilvl="5">
      <w:start w:val="1"/>
      <w:numFmt w:val="decimal"/>
      <w:lvlText w:val="%1.%2.%3.%4.%5.%6"/>
      <w:lvlJc w:val="left"/>
      <w:pPr>
        <w:ind w:hanging="1152" w:left="1152"/>
      </w:pPr>
      <w:rPr>
        <w:rFonts w:hint="default"/>
      </w:rPr>
    </w:lvl>
    <w:lvl w:ilvl="6">
      <w:start w:val="1"/>
      <w:numFmt w:val="decimal"/>
      <w:lvlText w:val="%1.%2.%3.%4.%5.%6.%7"/>
      <w:lvlJc w:val="left"/>
      <w:pPr>
        <w:ind w:hanging="1296" w:left="1296"/>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584" w:left="1584"/>
      </w:pPr>
      <w:rPr>
        <w:rFonts w:hint="default"/>
      </w:rPr>
    </w:lvl>
  </w:abstractNum>
  <w:abstractNum w15:restartNumberingAfterBreak="0" w:abstractNumId="11">
    <w:nsid w:val="682634CB"/>
    <w:multiLevelType w:val="multilevel"/>
    <w:tmpl w:val="DEEE0E52"/>
    <w:lvl w:ilvl="0">
      <w:start w:val="1"/>
      <w:numFmt w:val="decimal"/>
      <w:pStyle w:val="NumberedExampleinabox-EDPB"/>
      <w:lvlText w:val="Example %1:"/>
      <w:lvlJc w:val="left"/>
      <w:pPr>
        <w:ind w:hanging="360" w:left="1260"/>
      </w:pPr>
      <w:rPr>
        <w:rFonts w:cs="Times New Roman" w:hint="default"/>
        <w:b/>
        <w:i w:val="0"/>
        <w:color w:themeColor="accent1" w:val="0A105D"/>
      </w:rPr>
    </w:lvl>
    <w:lvl w:ilvl="1">
      <w:start w:val="1"/>
      <w:numFmt w:val="lowerLetter"/>
      <w:lvlText w:val="%2."/>
      <w:lvlJc w:val="left"/>
      <w:pPr>
        <w:ind w:hanging="360" w:left="2357"/>
      </w:pPr>
      <w:rPr>
        <w:rFonts w:cs="Times New Roman" w:hint="default"/>
      </w:rPr>
    </w:lvl>
    <w:lvl w:ilvl="2">
      <w:start w:val="1"/>
      <w:numFmt w:val="lowerRoman"/>
      <w:lvlText w:val="%3."/>
      <w:lvlJc w:val="right"/>
      <w:pPr>
        <w:ind w:hanging="180" w:left="3077"/>
      </w:pPr>
      <w:rPr>
        <w:rFonts w:cs="Times New Roman" w:hint="default"/>
      </w:rPr>
    </w:lvl>
    <w:lvl w:ilvl="3">
      <w:start w:val="1"/>
      <w:numFmt w:val="decimal"/>
      <w:lvlText w:val="%4."/>
      <w:lvlJc w:val="left"/>
      <w:pPr>
        <w:ind w:hanging="360" w:left="3797"/>
      </w:pPr>
      <w:rPr>
        <w:rFonts w:cs="Times New Roman" w:hint="default"/>
      </w:rPr>
    </w:lvl>
    <w:lvl w:ilvl="4">
      <w:start w:val="1"/>
      <w:numFmt w:val="lowerLetter"/>
      <w:lvlText w:val="%5."/>
      <w:lvlJc w:val="left"/>
      <w:pPr>
        <w:ind w:hanging="360" w:left="4517"/>
      </w:pPr>
      <w:rPr>
        <w:rFonts w:cs="Times New Roman" w:hint="default"/>
      </w:rPr>
    </w:lvl>
    <w:lvl w:ilvl="5">
      <w:start w:val="1"/>
      <w:numFmt w:val="lowerRoman"/>
      <w:lvlText w:val="%6."/>
      <w:lvlJc w:val="right"/>
      <w:pPr>
        <w:ind w:hanging="180" w:left="5237"/>
      </w:pPr>
      <w:rPr>
        <w:rFonts w:cs="Times New Roman" w:hint="default"/>
      </w:rPr>
    </w:lvl>
    <w:lvl w:ilvl="6">
      <w:start w:val="1"/>
      <w:numFmt w:val="decimal"/>
      <w:lvlText w:val="%7."/>
      <w:lvlJc w:val="left"/>
      <w:pPr>
        <w:ind w:hanging="360" w:left="5957"/>
      </w:pPr>
      <w:rPr>
        <w:rFonts w:cs="Times New Roman" w:hint="default"/>
      </w:rPr>
    </w:lvl>
    <w:lvl w:ilvl="7">
      <w:start w:val="1"/>
      <w:numFmt w:val="lowerLetter"/>
      <w:lvlText w:val="%8."/>
      <w:lvlJc w:val="left"/>
      <w:pPr>
        <w:ind w:hanging="360" w:left="6677"/>
      </w:pPr>
      <w:rPr>
        <w:rFonts w:cs="Times New Roman" w:hint="default"/>
      </w:rPr>
    </w:lvl>
    <w:lvl w:ilvl="8">
      <w:start w:val="1"/>
      <w:numFmt w:val="lowerRoman"/>
      <w:lvlText w:val="%9."/>
      <w:lvlJc w:val="right"/>
      <w:pPr>
        <w:ind w:hanging="180" w:left="7397"/>
      </w:pPr>
      <w:rPr>
        <w:rFonts w:cs="Times New Roman" w:hint="default"/>
      </w:rPr>
    </w:lvl>
  </w:abstractNum>
  <w:abstractNum w15:restartNumberingAfterBreak="0" w:abstractNumId="12">
    <w:nsid w:val="697A3767"/>
    <w:multiLevelType w:val="hybridMultilevel"/>
    <w:tmpl w:val="681EAF7C"/>
    <w:lvl w:ilvl="0" w:tplc="08090003">
      <w:start w:val="1"/>
      <w:numFmt w:val="bullet"/>
      <w:lvlText w:val="o"/>
      <w:lvlJc w:val="left"/>
      <w:pPr>
        <w:ind w:hanging="360" w:left="720"/>
      </w:pPr>
      <w:rPr>
        <w:rFonts w:ascii="Courier New" w:cs="Courier New" w:hAnsi="Courier New"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3">
    <w:nsid w:val="778F70C8"/>
    <w:multiLevelType w:val="multilevel"/>
    <w:tmpl w:val="BCFA67AC"/>
    <w:lvl w:ilvl="0">
      <w:start w:val="1"/>
      <w:numFmt w:val="decimal"/>
      <w:pStyle w:val="Heading1"/>
      <w:suff w:val="space"/>
      <w:lvlText w:val="%1 "/>
      <w:lvlJc w:val="left"/>
      <w:pPr>
        <w:ind w:firstLine="0" w:left="0"/>
      </w:pPr>
      <w:rPr>
        <w:rFonts w:ascii="Arial" w:hAnsi="Arial" w:hint="default"/>
        <w:b/>
        <w:i w:val="0"/>
        <w:caps w:val="0"/>
        <w:vanish w:val="0"/>
        <w:color w:themeColor="accent3" w:val="0A105D"/>
        <w:sz w:val="32"/>
      </w:rPr>
    </w:lvl>
    <w:lvl w:ilvl="1">
      <w:start w:val="1"/>
      <w:numFmt w:val="decimal"/>
      <w:pStyle w:val="Heading2"/>
      <w:suff w:val="space"/>
      <w:lvlText w:val="%1.%2"/>
      <w:lvlJc w:val="left"/>
      <w:pPr>
        <w:ind w:hanging="5387" w:left="5387"/>
      </w:pPr>
      <w:rPr>
        <w:rFonts w:ascii="Arial" w:hAnsi="Arial" w:hint="default"/>
        <w:b/>
        <w:i w:val="0"/>
        <w:sz w:val="28"/>
      </w:rPr>
    </w:lvl>
    <w:lvl w:ilvl="2">
      <w:start w:val="1"/>
      <w:numFmt w:val="decimal"/>
      <w:pStyle w:val="Heading3"/>
      <w:suff w:val="space"/>
      <w:lvlText w:val="%1.%2.%3"/>
      <w:lvlJc w:val="left"/>
      <w:pPr>
        <w:ind w:firstLine="0" w:left="0"/>
      </w:pPr>
      <w:rPr>
        <w:rFonts w:ascii="Arial" w:hAnsi="Arial" w:hint="default"/>
        <w:b/>
        <w:i w:val="0"/>
        <w:color w:themeColor="accent1" w:val="0A105D"/>
        <w:sz w:val="24"/>
      </w:rPr>
    </w:lvl>
    <w:lvl w:ilvl="3">
      <w:start w:val="1"/>
      <w:numFmt w:val="decimal"/>
      <w:suff w:val="space"/>
      <w:lvlText w:val="%1.%2.%3.%4"/>
      <w:lvlJc w:val="left"/>
      <w:pPr>
        <w:ind w:firstLine="0" w:left="0"/>
      </w:pPr>
      <w:rPr>
        <w:rFonts w:ascii="Arial" w:hAnsi="Arial" w:hint="default"/>
        <w:b/>
        <w:i w:val="0"/>
        <w:color w:themeColor="accent2" w:val="08149C"/>
        <w:sz w:val="22"/>
      </w:rPr>
    </w:lvl>
    <w:lvl w:ilvl="4">
      <w:start w:val="1"/>
      <w:numFmt w:val="decimal"/>
      <w:suff w:val="space"/>
      <w:lvlText w:val="%1.%2.%3.%4.%5"/>
      <w:lvlJc w:val="left"/>
      <w:pPr>
        <w:ind w:firstLine="0" w:left="0"/>
      </w:pPr>
      <w:rPr>
        <w:rFonts w:ascii="Arial" w:hAnsi="Arial" w:hint="default"/>
        <w:b/>
        <w:i w:val="0"/>
        <w:sz w:val="22"/>
      </w:rPr>
    </w:lvl>
    <w:lvl w:ilvl="5">
      <w:start w:val="1"/>
      <w:numFmt w:val="decimal"/>
      <w:pStyle w:val="Heading6"/>
      <w:suff w:val="space"/>
      <w:lvlText w:val="%1.%2.%3.%4.%5.%6"/>
      <w:lvlJc w:val="left"/>
      <w:pPr>
        <w:ind w:firstLine="0" w:left="0"/>
      </w:pPr>
      <w:rPr>
        <w:rFonts w:hint="default"/>
      </w:rPr>
    </w:lvl>
    <w:lvl w:ilvl="6">
      <w:start w:val="1"/>
      <w:numFmt w:val="decimal"/>
      <w:pStyle w:val="Heading7"/>
      <w:suff w:val="space"/>
      <w:lvlText w:val="%1.%2.%3.%4.%5.%6.%7"/>
      <w:lvlJc w:val="left"/>
      <w:pPr>
        <w:ind w:firstLine="0" w:left="0"/>
      </w:pPr>
      <w:rPr>
        <w:rFonts w:hint="default"/>
      </w:rPr>
    </w:lvl>
    <w:lvl w:ilvl="7">
      <w:start w:val="1"/>
      <w:numFmt w:val="decimal"/>
      <w:pStyle w:val="Heading8"/>
      <w:suff w:val="space"/>
      <w:lvlText w:val="%1.%2.%3.%4.%5.%6.%7.%8"/>
      <w:lvlJc w:val="left"/>
      <w:pPr>
        <w:ind w:firstLine="0" w:left="0"/>
      </w:pPr>
      <w:rPr>
        <w:rFonts w:hint="default"/>
      </w:rPr>
    </w:lvl>
    <w:lvl w:ilvl="8">
      <w:start w:val="1"/>
      <w:numFmt w:val="decimal"/>
      <w:pStyle w:val="Heading9"/>
      <w:lvlText w:val="%1.%2.%3.%4.%5.%6.%7.%8.%9"/>
      <w:lvlJc w:val="left"/>
      <w:pPr>
        <w:ind w:hanging="1584" w:left="1584"/>
      </w:pPr>
      <w:rPr>
        <w:rFonts w:hint="default"/>
      </w:rPr>
    </w:lvl>
  </w:abstractNum>
  <w:abstractNum w15:restartNumberingAfterBreak="0" w:abstractNumId="14">
    <w:nsid w:val="7BCE62D3"/>
    <w:multiLevelType w:val="hybridMultilevel"/>
    <w:tmpl w:val="CA34CDF0"/>
    <w:lvl w:ilvl="0" w:tplc="252A41E2">
      <w:start w:val="1"/>
      <w:numFmt w:val="decimal"/>
      <w:pStyle w:val="Numberedparagraph-EDPB"/>
      <w:lvlText w:val="%1"/>
      <w:lvlJc w:val="left"/>
      <w:pPr>
        <w:ind w:hanging="360" w:left="153"/>
      </w:pPr>
      <w:rPr>
        <w:rFonts w:ascii="Arial" w:cs="Calibri" w:hAnsi="Arial" w:hint="default"/>
        <w:b w:val="0"/>
        <w:bCs w:val="0"/>
        <w:i w:val="0"/>
        <w:iCs w:val="0"/>
        <w:caps w:val="0"/>
        <w:smallCaps w:val="0"/>
        <w:strike w:val="0"/>
        <w:dstrike w:val="0"/>
        <w:outline w:val="0"/>
        <w:shadow w:val="0"/>
        <w:emboss w:val="0"/>
        <w:imprint w:val="0"/>
        <w:vanish w:val="0"/>
        <w:color w:themeColor="text1" w:val="000000"/>
        <w:spacing w:val="0"/>
        <w:kern w:val="0"/>
        <w:position w:val="0"/>
        <w:sz w:val="22"/>
        <w:szCs w:val="22"/>
        <w:u w:val="none"/>
        <w:effect w:val="none"/>
        <w:vertAlign w:val="baseline"/>
        <w14:ligatures w14:val="none"/>
        <w14:numForm w14:val="default"/>
      </w:rPr>
    </w:lvl>
    <w:lvl w:ilvl="1" w:tentative="1" w:tplc="08090019">
      <w:start w:val="1"/>
      <w:numFmt w:val="lowerLetter"/>
      <w:lvlText w:val="%2."/>
      <w:lvlJc w:val="left"/>
      <w:pPr>
        <w:ind w:hanging="360" w:left="873"/>
      </w:pPr>
    </w:lvl>
    <w:lvl w:ilvl="2" w:tentative="1" w:tplc="0809001B">
      <w:start w:val="1"/>
      <w:numFmt w:val="lowerRoman"/>
      <w:lvlText w:val="%3."/>
      <w:lvlJc w:val="right"/>
      <w:pPr>
        <w:ind w:hanging="180" w:left="1593"/>
      </w:pPr>
    </w:lvl>
    <w:lvl w:ilvl="3" w:tentative="1" w:tplc="0809000F">
      <w:start w:val="1"/>
      <w:numFmt w:val="decimal"/>
      <w:lvlText w:val="%4."/>
      <w:lvlJc w:val="left"/>
      <w:pPr>
        <w:ind w:hanging="360" w:left="2313"/>
      </w:pPr>
    </w:lvl>
    <w:lvl w:ilvl="4" w:tentative="1" w:tplc="08090019">
      <w:start w:val="1"/>
      <w:numFmt w:val="lowerLetter"/>
      <w:lvlText w:val="%5."/>
      <w:lvlJc w:val="left"/>
      <w:pPr>
        <w:ind w:hanging="360" w:left="3033"/>
      </w:pPr>
    </w:lvl>
    <w:lvl w:ilvl="5" w:tentative="1" w:tplc="0809001B">
      <w:start w:val="1"/>
      <w:numFmt w:val="lowerRoman"/>
      <w:lvlText w:val="%6."/>
      <w:lvlJc w:val="right"/>
      <w:pPr>
        <w:ind w:hanging="180" w:left="3753"/>
      </w:pPr>
    </w:lvl>
    <w:lvl w:ilvl="6" w:tentative="1" w:tplc="0809000F">
      <w:start w:val="1"/>
      <w:numFmt w:val="decimal"/>
      <w:lvlText w:val="%7."/>
      <w:lvlJc w:val="left"/>
      <w:pPr>
        <w:ind w:hanging="360" w:left="4473"/>
      </w:pPr>
    </w:lvl>
    <w:lvl w:ilvl="7" w:tentative="1" w:tplc="08090019">
      <w:start w:val="1"/>
      <w:numFmt w:val="lowerLetter"/>
      <w:lvlText w:val="%8."/>
      <w:lvlJc w:val="left"/>
      <w:pPr>
        <w:ind w:hanging="360" w:left="5193"/>
      </w:pPr>
    </w:lvl>
    <w:lvl w:ilvl="8" w:tentative="1" w:tplc="0809001B">
      <w:start w:val="1"/>
      <w:numFmt w:val="lowerRoman"/>
      <w:lvlText w:val="%9."/>
      <w:lvlJc w:val="right"/>
      <w:pPr>
        <w:ind w:hanging="180" w:left="5913"/>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FA12B3C"/>
    <w:multiLevelType w:val="multiLevel"/>
    <w:tmpl w:val="04090029"/>
    <w:lvl w:ilvl="0">
      <w:start w:val="1"/>
      <w:numFmt w:val="decimal"/>
      <w:lvlText w:val="%1"/>
      <w:lvlJc w:val="left"/>
    </w:lvl>
    <w:lvl w:ilvl="1">
      <w:start w:val="1"/>
      <w:numFmt w:val="decimal"/>
      <w:lvlText w:val="%1.%2"/>
      <w:lvlJc w:val="left"/>
    </w:lvl>
    <w:lvl w:ilvl="2">
      <w:start w:val="1"/>
      <w:numFmt w:val="lowerLetter"/>
      <w:lvlText w:val="%1.%2.%3"/>
      <w:lvlJc w:val="left"/>
    </w:lvl>
  </w:abstractNum>
  <w:num w16cid:durableId="1203324735" w:numId="1">
    <w:abstractNumId w:val="11"/>
  </w:num>
  <w:num w16cid:durableId="828400307" w:numId="2">
    <w:abstractNumId w:val="6"/>
  </w:num>
  <w:num w16cid:durableId="690375217" w:numId="3">
    <w:abstractNumId w:val="14"/>
  </w:num>
  <w:num w16cid:durableId="1944413349" w:numId="4">
    <w:abstractNumId w:val="8"/>
  </w:num>
  <w:num w16cid:durableId="1312566294" w:numId="5">
    <w:abstractNumId w:val="0"/>
  </w:num>
  <w:num w16cid:durableId="1850485742" w:numId="6">
    <w:abstractNumId w:val="10"/>
  </w:num>
  <w:num w16cid:durableId="2009207441" w:numId="7">
    <w:abstractNumId w:val="13"/>
  </w:num>
  <w:num w16cid:durableId="1497963150" w:numId="8">
    <w:abstractNumId w:val="9"/>
  </w:num>
  <w:num w16cid:durableId="328751044" w:numId="9">
    <w:abstractNumId w:val="2"/>
  </w:num>
  <w:num w16cid:durableId="339896839" w:numId="10">
    <w:abstractNumId w:val="5"/>
  </w:num>
  <w:num w16cid:durableId="40328966" w:numId="11">
    <w:abstractNumId w:val="7"/>
  </w:num>
  <w:num w16cid:durableId="1481845719" w:numId="12">
    <w:abstractNumId w:val="4"/>
  </w:num>
  <w:num w16cid:durableId="590969864" w:numId="13">
    <w:abstractNumId w:val="3"/>
  </w:num>
  <w:num w16cid:durableId="626934513" w:numId="14">
    <w:abstractNumId w:val="12"/>
  </w:num>
  <w:num w16cid:durableId="751319523" w:numId="15">
    <w:abstractNumId w:val="1"/>
  </w:num>
  <w:num w:numId="1000">
    <w:abstractNumId w:val="990"/>
  </w:num>
  <w:num w:numId="1001">
    <w:abstractNumId w:val="991"/>
  </w:num>
  <w:num w:numId="1002">
    <w:abstractNumId w:val="992"/>
    <w:lvlOverride w:ilvl="0">
      <w:startOverride w:val="1"/>
    </w:lvlOverride>
    <w:lvlOverride w:ilvl="1">
      <w:startOverride w:val="1"/>
    </w:lvlOverride>
    <w:lvlOverride w:ilvl="2">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removePersonalInformation/>
  <w:removeDateAndTime/>
  <w:displayBackgroundShape/>
  <w:embedSystemFonts/>
  <w:activeWritingStyle w:appName="MSWord" w:checkStyle="0" w:dllVersion="6" w:lang="pt-PT" w:nlCheck="1" w:vendorID="64"/>
  <w:proofState w:grammar="clean" w:spelling="clean"/>
  <w:stylePaneFormatFilter w:allStyles="1" w:alternateStyleNames="1" w:clearFormatting="1" w:customStyles="0" w:directFormattingOnNumbering="0" w:directFormattingOnParagraphs="0" w:directFormattingOnRuns="0" w:directFormattingOnTables="0" w:headingStyles="1" w:latentStyles="0" w:numberingStyles="0" w:stylesInUse="0" w:tableStyles="0" w:top3HeadingStyles="0" w:val="9021" w:visibleStyles="0"/>
  <w:doNotTrackMoves/>
  <w:styleLockTheme/>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283"/>
    <w:rsid w:val="00000E9A"/>
    <w:rsid w:val="00002024"/>
    <w:rsid w:val="00007177"/>
    <w:rsid w:val="00010BC6"/>
    <w:rsid w:val="00011B27"/>
    <w:rsid w:val="00054C03"/>
    <w:rsid w:val="00081837"/>
    <w:rsid w:val="0008690C"/>
    <w:rsid w:val="000B0171"/>
    <w:rsid w:val="000E559D"/>
    <w:rsid w:val="000E6D81"/>
    <w:rsid w:val="000F3E09"/>
    <w:rsid w:val="001427A8"/>
    <w:rsid w:val="00151147"/>
    <w:rsid w:val="0016334A"/>
    <w:rsid w:val="00167CE9"/>
    <w:rsid w:val="00177355"/>
    <w:rsid w:val="0018123B"/>
    <w:rsid w:val="00185008"/>
    <w:rsid w:val="001A0C5A"/>
    <w:rsid w:val="001B06D2"/>
    <w:rsid w:val="001B469B"/>
    <w:rsid w:val="001C1D3C"/>
    <w:rsid w:val="001C2895"/>
    <w:rsid w:val="001C712E"/>
    <w:rsid w:val="001E5742"/>
    <w:rsid w:val="001F1175"/>
    <w:rsid w:val="00203944"/>
    <w:rsid w:val="00217CED"/>
    <w:rsid w:val="00217E28"/>
    <w:rsid w:val="002241BE"/>
    <w:rsid w:val="002321F7"/>
    <w:rsid w:val="00252D30"/>
    <w:rsid w:val="0025330E"/>
    <w:rsid w:val="0027362F"/>
    <w:rsid w:val="00274087"/>
    <w:rsid w:val="00291EF2"/>
    <w:rsid w:val="00294BAB"/>
    <w:rsid w:val="002A2AB8"/>
    <w:rsid w:val="002A477B"/>
    <w:rsid w:val="002A6295"/>
    <w:rsid w:val="002E0587"/>
    <w:rsid w:val="002E2867"/>
    <w:rsid w:val="00301F1D"/>
    <w:rsid w:val="00302B85"/>
    <w:rsid w:val="00305F53"/>
    <w:rsid w:val="0030610D"/>
    <w:rsid w:val="00341F27"/>
    <w:rsid w:val="00355B08"/>
    <w:rsid w:val="00366934"/>
    <w:rsid w:val="00380F75"/>
    <w:rsid w:val="00390FD4"/>
    <w:rsid w:val="003B1F77"/>
    <w:rsid w:val="003D6297"/>
    <w:rsid w:val="00400936"/>
    <w:rsid w:val="004100F5"/>
    <w:rsid w:val="004201CA"/>
    <w:rsid w:val="00421180"/>
    <w:rsid w:val="0042614C"/>
    <w:rsid w:val="004430C1"/>
    <w:rsid w:val="00446B6F"/>
    <w:rsid w:val="00446C23"/>
    <w:rsid w:val="004674BC"/>
    <w:rsid w:val="004722AF"/>
    <w:rsid w:val="0047378B"/>
    <w:rsid w:val="004A2F30"/>
    <w:rsid w:val="004B4264"/>
    <w:rsid w:val="004B5C8E"/>
    <w:rsid w:val="004C52C4"/>
    <w:rsid w:val="004E12AC"/>
    <w:rsid w:val="004F1A2A"/>
    <w:rsid w:val="0051363B"/>
    <w:rsid w:val="0053562E"/>
    <w:rsid w:val="00557DA5"/>
    <w:rsid w:val="00575CEB"/>
    <w:rsid w:val="005762E3"/>
    <w:rsid w:val="00590876"/>
    <w:rsid w:val="00595B77"/>
    <w:rsid w:val="00595B8E"/>
    <w:rsid w:val="006012A1"/>
    <w:rsid w:val="00602D85"/>
    <w:rsid w:val="00603AE3"/>
    <w:rsid w:val="00607C02"/>
    <w:rsid w:val="00637169"/>
    <w:rsid w:val="0065506B"/>
    <w:rsid w:val="00687014"/>
    <w:rsid w:val="00690B21"/>
    <w:rsid w:val="00692143"/>
    <w:rsid w:val="006C06CD"/>
    <w:rsid w:val="006C1F81"/>
    <w:rsid w:val="006D0B5F"/>
    <w:rsid w:val="006D0DFC"/>
    <w:rsid w:val="00706ECB"/>
    <w:rsid w:val="00721333"/>
    <w:rsid w:val="00722002"/>
    <w:rsid w:val="00737878"/>
    <w:rsid w:val="0075187D"/>
    <w:rsid w:val="00774C30"/>
    <w:rsid w:val="00781FF4"/>
    <w:rsid w:val="00782DFE"/>
    <w:rsid w:val="00791A24"/>
    <w:rsid w:val="007974B5"/>
    <w:rsid w:val="007A17E8"/>
    <w:rsid w:val="007B3509"/>
    <w:rsid w:val="007B75F9"/>
    <w:rsid w:val="00801461"/>
    <w:rsid w:val="008047F7"/>
    <w:rsid w:val="00820529"/>
    <w:rsid w:val="00824179"/>
    <w:rsid w:val="00824272"/>
    <w:rsid w:val="00852449"/>
    <w:rsid w:val="00863C60"/>
    <w:rsid w:val="008765BE"/>
    <w:rsid w:val="00892AEB"/>
    <w:rsid w:val="00894C8D"/>
    <w:rsid w:val="008B61AE"/>
    <w:rsid w:val="008B6AE1"/>
    <w:rsid w:val="008C11D8"/>
    <w:rsid w:val="008E3361"/>
    <w:rsid w:val="008E6321"/>
    <w:rsid w:val="009126AE"/>
    <w:rsid w:val="00924240"/>
    <w:rsid w:val="00952F77"/>
    <w:rsid w:val="00957EE6"/>
    <w:rsid w:val="00964490"/>
    <w:rsid w:val="009A25EE"/>
    <w:rsid w:val="009B0283"/>
    <w:rsid w:val="009C396C"/>
    <w:rsid w:val="00A04D9C"/>
    <w:rsid w:val="00A15A8D"/>
    <w:rsid w:val="00A41BC3"/>
    <w:rsid w:val="00A46A52"/>
    <w:rsid w:val="00A5238F"/>
    <w:rsid w:val="00A73F8F"/>
    <w:rsid w:val="00A81F5A"/>
    <w:rsid w:val="00A85568"/>
    <w:rsid w:val="00AA2554"/>
    <w:rsid w:val="00AC3E0B"/>
    <w:rsid w:val="00AC66C9"/>
    <w:rsid w:val="00AD4D8C"/>
    <w:rsid w:val="00AE3BAD"/>
    <w:rsid w:val="00B13330"/>
    <w:rsid w:val="00B247DE"/>
    <w:rsid w:val="00B3739D"/>
    <w:rsid w:val="00B66BB9"/>
    <w:rsid w:val="00B76056"/>
    <w:rsid w:val="00BB6F65"/>
    <w:rsid w:val="00BC69A7"/>
    <w:rsid w:val="00BF5459"/>
    <w:rsid w:val="00C11A66"/>
    <w:rsid w:val="00C1546D"/>
    <w:rsid w:val="00C25EF8"/>
    <w:rsid w:val="00C3303D"/>
    <w:rsid w:val="00C5252A"/>
    <w:rsid w:val="00C56806"/>
    <w:rsid w:val="00C61CAF"/>
    <w:rsid w:val="00C91E23"/>
    <w:rsid w:val="00CA15A5"/>
    <w:rsid w:val="00CA568F"/>
    <w:rsid w:val="00CC256C"/>
    <w:rsid w:val="00CD1339"/>
    <w:rsid w:val="00CE2D25"/>
    <w:rsid w:val="00CF0C6D"/>
    <w:rsid w:val="00D210AB"/>
    <w:rsid w:val="00D217B5"/>
    <w:rsid w:val="00D31D4E"/>
    <w:rsid w:val="00D36A46"/>
    <w:rsid w:val="00D4049E"/>
    <w:rsid w:val="00D45A82"/>
    <w:rsid w:val="00D55ED2"/>
    <w:rsid w:val="00D800FE"/>
    <w:rsid w:val="00D87FDF"/>
    <w:rsid w:val="00DD52B6"/>
    <w:rsid w:val="00DD54AA"/>
    <w:rsid w:val="00DE51F4"/>
    <w:rsid w:val="00DE5596"/>
    <w:rsid w:val="00E232DD"/>
    <w:rsid w:val="00E2500E"/>
    <w:rsid w:val="00E41CC7"/>
    <w:rsid w:val="00E45413"/>
    <w:rsid w:val="00E55FCA"/>
    <w:rsid w:val="00E62F5F"/>
    <w:rsid w:val="00E67185"/>
    <w:rsid w:val="00E80001"/>
    <w:rsid w:val="00EB5B9A"/>
    <w:rsid w:val="00EC5D33"/>
    <w:rsid w:val="00ED44C1"/>
    <w:rsid w:val="00EF1447"/>
    <w:rsid w:val="00EF41F8"/>
    <w:rsid w:val="00F07027"/>
    <w:rsid w:val="00F23E8E"/>
    <w:rsid w:val="00F36255"/>
    <w:rsid w:val="00F6368A"/>
    <w:rsid w:val="00F664EA"/>
    <w:rsid w:val="00F8282F"/>
    <w:rsid w:val="00F97F1B"/>
    <w:rsid w:val="00FB2035"/>
    <w:rsid w:val="00FD0960"/>
    <w:rsid w:val="00FD6634"/>
    <w:rsid w:val="00FE1309"/>
    <w:rsid w:val="00FE33F1"/>
    <w:rsid w:val="00FF4D52"/>
  </w:rsids>
  <w:themeFontLang w:val="en-GB"/>
  <w:clrSchemeMapping w:accent1="accent1" w:accent2="accent2" w:accent3="accent3" w:accent4="accent4" w:accent5="accent5" w:accent6="accent6" w:bg1="light1" w:bg2="light2" w:followedHyperlink="followedHyperlink" w:hyperlink="hyperlink" w:t1="dark1" w:t2="dark2"/>
  <w:doNotAutoCompressPicture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en-US" w:val="en-GB"/>
      </w:rPr>
    </w:rPrDefault>
    <w:pPrDefault>
      <w:pPr>
        <w:spacing w:after="200" w:line="28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toc 1" w:qFormat="1" w:semiHidden="1" w:uiPriority="39" w:unhideWhenUsed="1"/>
    <w:lsdException w:name="toc 2" w:semiHidden="1" w:uiPriority="39" w:unhideWhenUsed="1"/>
    <w:lsdException w:name="toc 3" w:semiHidden="1" w:uiPriority="39" w:unhideWhenUsed="1"/>
    <w:lsdException w:name="toc 4" w:semiHidden="1" w:uiPriority="39" w:unhideWhenUsed="1"/>
    <w:lsdException w:name="toc 5" w:uiPriority="39"/>
    <w:lsdException w:name="toc 6" w:uiPriority="39"/>
    <w:lsdException w:name="toc 7" w:uiPriority="39"/>
    <w:lsdException w:name="toc 8" w:uiPriority="39"/>
    <w:lsdException w:name="toc 9" w:uiPriority="39"/>
    <w:lsdException w:name="footnote text" w:qFormat="1" w:semiHidden="1" w:unhideWhenUsed="1"/>
    <w:lsdException w:name="annotation text" w:semiHidden="1" w:unhideWhenUsed="1"/>
    <w:lsdException w:name="header" w:semiHidden="1" w:unhideWhenUsed="1"/>
    <w:lsdException w:name="footer" w:semiHidden="1" w:unhideWhenUsed="1"/>
    <w:lsdException w:name="caption" w:qFormat="1" w:semiHidden="1" w:uiPriority="35" w:unhideWhenUsed="1"/>
    <w:lsdException w:name="footnote reference" w:semiHidden="1" w:unhideWhenUsed="1"/>
    <w:lsdException w:name="annotation reference" w:semiHidden="1" w:unhideWhenUsed="1"/>
    <w:lsdException w:name="Title" w:qFormat="1" w:uiPriority="10"/>
    <w:lsdException w:name="Default Paragraph Font" w:semiHidden="1" w:uiPriority="1" w:unhideWhenUsed="1"/>
    <w:lsdException w:name="Subtitle" w:semiHidden="1" w:uiPriority="11" w:unhideWhenUsed="1"/>
    <w:lsdException w:name="Hyperlink" w:qFormat="1" w:semiHidden="1" w:unhideWhenUsed="1"/>
    <w:lsdException w:name="Strong" w:qFormat="1" w:uiPriority="22"/>
    <w:lsdException w:name="Emphasis" w:uiPriority="20"/>
    <w:lsdException w:name="HTML Top of Form" w:semiHidden="1" w:unhideWhenUsed="1"/>
    <w:lsdException w:name="HTML Bottom of Form"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qFormat="1" w:uiPriority="21"/>
    <w:lsdException w:name="Subtle Reference" w:uiPriority="31"/>
    <w:lsdException w:name="Intense Reference" w:uiPriority="32"/>
    <w:lsdException w:name="Book Title" w:uiPriority="33"/>
    <w:lsdException w:name="Bibliography" w:uiPriority="37"/>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aliases w:val="Normal paragraph – EDPB"/>
    <w:uiPriority w:val="3"/>
    <w:qFormat/>
    <w:rsid w:val="008E6321"/>
    <w:pPr>
      <w:spacing w:after="120" w:before="120" w:line="259" w:lineRule="auto"/>
      <w:jc w:val="both"/>
    </w:pPr>
    <w:rPr>
      <w:rFonts w:ascii="Glory" w:cs="Calibri" w:eastAsia="Times New Roman" w:hAnsi="Glory"/>
      <w:color w:themeColor="text1" w:val="000000"/>
      <w:sz w:val="22"/>
      <w:szCs w:val="24"/>
    </w:rPr>
  </w:style>
  <w:style w:styleId="Heading1" w:type="paragraph">
    <w:name w:val="heading 1"/>
    <w:aliases w:val="EDPB H1,EDPB heading 1"/>
    <w:next w:val="Normal"/>
    <w:link w:val="Heading1Char"/>
    <w:autoRedefine/>
    <w:uiPriority w:val="9"/>
    <w:qFormat/>
    <w:rsid w:val="00002024"/>
    <w:pPr>
      <w:numPr>
        <w:numId w:val="7"/>
      </w:numPr>
      <w:spacing w:before="360"/>
      <w:outlineLvl w:val="0"/>
    </w:pPr>
    <w:rPr>
      <w:rFonts w:asciiTheme="majorHAnsi" w:cstheme="majorBidi" w:eastAsiaTheme="majorEastAsia" w:hAnsiTheme="majorHAnsi"/>
      <w:b/>
      <w:color w:themeColor="accent1" w:val="0A105D"/>
      <w:spacing w:val="10"/>
      <w:sz w:val="32"/>
      <w:szCs w:val="64"/>
    </w:rPr>
  </w:style>
  <w:style w:styleId="Heading2" w:type="paragraph">
    <w:name w:val="heading 2"/>
    <w:aliases w:val="EDPB H2,EDPB Heading 2"/>
    <w:next w:val="Normal"/>
    <w:link w:val="Heading2Char"/>
    <w:autoRedefine/>
    <w:uiPriority w:val="9"/>
    <w:qFormat/>
    <w:rsid w:val="00002024"/>
    <w:pPr>
      <w:numPr>
        <w:ilvl w:val="1"/>
        <w:numId w:val="0"/>
      </w:numPr>
      <w:spacing w:before="200"/>
      <w:outlineLvl w:val="1"/>
    </w:pPr>
    <w:rPr>
      <w:rFonts w:asciiTheme="majorHAnsi" w:cstheme="majorBidi" w:eastAsiaTheme="majorEastAsia" w:hAnsiTheme="majorHAnsi"/>
      <w:b/>
      <w:color w:themeColor="accent1" w:val="0A105D"/>
      <w:spacing w:val="10"/>
      <w:sz w:val="28"/>
      <w:szCs w:val="64"/>
    </w:rPr>
  </w:style>
  <w:style w:styleId="Heading3" w:type="paragraph">
    <w:name w:val="heading 3"/>
    <w:aliases w:val="EDPB H3,EDPB Heading 3"/>
    <w:next w:val="Normal"/>
    <w:link w:val="Heading3Char"/>
    <w:uiPriority w:val="9"/>
    <w:qFormat/>
    <w:rsid w:val="00002024"/>
    <w:pPr>
      <w:numPr>
        <w:ilvl w:val="2"/>
        <w:numId w:val="0"/>
      </w:numPr>
      <w:outlineLvl w:val="2"/>
    </w:pPr>
    <w:rPr>
      <w:rFonts w:asciiTheme="majorHAnsi" w:cstheme="majorBidi" w:eastAsiaTheme="majorEastAsia" w:hAnsiTheme="majorHAnsi"/>
      <w:b/>
      <w:color w:themeColor="accent1" w:val="0A105D"/>
      <w:spacing w:val="10"/>
      <w:sz w:val="24"/>
      <w:szCs w:val="64"/>
    </w:rPr>
  </w:style>
  <w:style w:styleId="Heading4" w:type="paragraph">
    <w:name w:val="heading 4"/>
    <w:aliases w:val="EDPB H4,EDPB Heading 4"/>
    <w:next w:val="Normal"/>
    <w:link w:val="Heading4Char"/>
    <w:autoRedefine/>
    <w:uiPriority w:val="9"/>
    <w:qFormat/>
    <w:rsid w:val="00002024"/>
    <w:pPr>
      <w:spacing w:before="120"/>
      <w:outlineLvl w:val="3"/>
    </w:pPr>
    <w:rPr>
      <w:rFonts w:asciiTheme="majorHAnsi" w:cstheme="majorBidi" w:eastAsiaTheme="majorEastAsia" w:hAnsiTheme="majorHAnsi"/>
      <w:b/>
      <w:color w:themeColor="accent2" w:val="08149C"/>
      <w:spacing w:val="10"/>
      <w:sz w:val="22"/>
      <w:szCs w:val="64"/>
    </w:rPr>
  </w:style>
  <w:style w:styleId="Heading5" w:type="paragraph">
    <w:name w:val="heading 5"/>
    <w:aliases w:val="EDPB H5"/>
    <w:next w:val="Normal"/>
    <w:link w:val="Heading5Char"/>
    <w:autoRedefine/>
    <w:uiPriority w:val="9"/>
    <w:qFormat/>
    <w:rsid w:val="00002024"/>
    <w:pPr>
      <w:spacing w:before="120"/>
      <w:outlineLvl w:val="4"/>
    </w:pPr>
    <w:rPr>
      <w:rFonts w:asciiTheme="majorHAnsi" w:cstheme="majorBidi" w:eastAsiaTheme="majorEastAsia" w:hAnsiTheme="majorHAnsi"/>
      <w:b/>
      <w:spacing w:val="10"/>
      <w:sz w:val="22"/>
      <w:szCs w:val="64"/>
    </w:rPr>
  </w:style>
  <w:style w:styleId="Heading6" w:type="paragraph">
    <w:name w:val="heading 6"/>
    <w:basedOn w:val="Normal"/>
    <w:next w:val="Normal"/>
    <w:link w:val="Heading6Char"/>
    <w:uiPriority w:val="9"/>
    <w:unhideWhenUsed/>
    <w:qFormat/>
    <w:rsid w:val="00824179"/>
    <w:pPr>
      <w:keepNext/>
      <w:numPr>
        <w:ilvl w:val="5"/>
        <w:numId w:val="7"/>
      </w:numPr>
      <w:spacing w:after="0" w:before="40"/>
      <w:outlineLvl w:val="5"/>
    </w:pPr>
    <w:rPr>
      <w:rFonts w:asciiTheme="majorHAnsi" w:cstheme="majorBidi" w:eastAsiaTheme="majorEastAsia" w:hAnsiTheme="majorHAnsi"/>
      <w:color w:themeColor="accent6" w:val="0A105D"/>
      <w:sz w:val="21"/>
      <w:szCs w:val="21"/>
    </w:rPr>
  </w:style>
  <w:style w:styleId="Heading7" w:type="paragraph">
    <w:name w:val="heading 7"/>
    <w:basedOn w:val="Normal"/>
    <w:next w:val="Normal"/>
    <w:link w:val="Heading7Char"/>
    <w:uiPriority w:val="9"/>
    <w:unhideWhenUsed/>
    <w:qFormat/>
    <w:rsid w:val="00824179"/>
    <w:pPr>
      <w:keepNext/>
      <w:numPr>
        <w:ilvl w:val="6"/>
        <w:numId w:val="7"/>
      </w:numPr>
      <w:spacing w:after="0" w:before="40"/>
      <w:outlineLvl w:val="6"/>
    </w:pPr>
    <w:rPr>
      <w:rFonts w:asciiTheme="majorHAnsi" w:cstheme="majorBidi" w:eastAsiaTheme="majorEastAsia" w:hAnsiTheme="majorHAnsi"/>
      <w:b/>
      <w:bCs/>
      <w:color w:themeColor="accent6" w:val="0A105D"/>
      <w:sz w:val="21"/>
      <w:szCs w:val="21"/>
    </w:rPr>
  </w:style>
  <w:style w:styleId="Heading8" w:type="paragraph">
    <w:name w:val="heading 8"/>
    <w:basedOn w:val="Normal"/>
    <w:next w:val="Normal"/>
    <w:link w:val="Heading8Char"/>
    <w:uiPriority w:val="9"/>
    <w:unhideWhenUsed/>
    <w:qFormat/>
    <w:rsid w:val="00824179"/>
    <w:pPr>
      <w:keepNext/>
      <w:numPr>
        <w:ilvl w:val="7"/>
        <w:numId w:val="7"/>
      </w:numPr>
      <w:spacing w:after="0" w:before="40"/>
      <w:outlineLvl w:val="7"/>
    </w:pPr>
    <w:rPr>
      <w:rFonts w:asciiTheme="majorHAnsi" w:cstheme="majorBidi" w:eastAsiaTheme="majorEastAsia" w:hAnsiTheme="majorHAnsi"/>
      <w:b/>
      <w:bCs/>
      <w:i/>
      <w:iCs/>
      <w:color w:themeColor="accent6" w:val="0A105D"/>
      <w:sz w:val="20"/>
      <w:szCs w:val="20"/>
    </w:rPr>
  </w:style>
  <w:style w:styleId="Heading9" w:type="paragraph">
    <w:name w:val="heading 9"/>
    <w:basedOn w:val="Normal"/>
    <w:next w:val="Normal"/>
    <w:link w:val="Heading9Char"/>
    <w:uiPriority w:val="9"/>
    <w:unhideWhenUsed/>
    <w:qFormat/>
    <w:rsid w:val="00824179"/>
    <w:pPr>
      <w:keepNext/>
      <w:numPr>
        <w:ilvl w:val="8"/>
        <w:numId w:val="7"/>
      </w:numPr>
      <w:spacing w:after="0" w:before="40"/>
      <w:outlineLvl w:val="8"/>
    </w:pPr>
    <w:rPr>
      <w:rFonts w:asciiTheme="majorHAnsi" w:cstheme="majorBidi" w:eastAsiaTheme="majorEastAsia" w:hAnsiTheme="majorHAnsi"/>
      <w:i/>
      <w:iCs/>
      <w:color w:themeColor="accent6" w:val="0A105D"/>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aliases w:val="EDPB H1 Char,EDPB heading 1 Char"/>
    <w:basedOn w:val="DefaultParagraphFont"/>
    <w:link w:val="Heading1"/>
    <w:uiPriority w:val="9"/>
    <w:rsid w:val="00002024"/>
    <w:rPr>
      <w:rFonts w:asciiTheme="majorHAnsi" w:cstheme="majorBidi" w:eastAsiaTheme="majorEastAsia" w:hAnsiTheme="majorHAnsi"/>
      <w:b/>
      <w:color w:themeColor="accent1" w:val="0A105D"/>
      <w:spacing w:val="10"/>
      <w:sz w:val="32"/>
      <w:szCs w:val="64"/>
    </w:rPr>
  </w:style>
  <w:style w:customStyle="1" w:styleId="Heading2Char" w:type="character">
    <w:name w:val="Heading 2 Char"/>
    <w:aliases w:val="EDPB H2 Char,EDPB Heading 2 Char"/>
    <w:basedOn w:val="DefaultParagraphFont"/>
    <w:link w:val="Heading2"/>
    <w:uiPriority w:val="9"/>
    <w:rsid w:val="00002024"/>
    <w:rPr>
      <w:rFonts w:asciiTheme="majorHAnsi" w:cstheme="majorBidi" w:eastAsiaTheme="majorEastAsia" w:hAnsiTheme="majorHAnsi"/>
      <w:b/>
      <w:color w:themeColor="accent1" w:val="0A105D"/>
      <w:spacing w:val="10"/>
      <w:sz w:val="28"/>
      <w:szCs w:val="64"/>
    </w:rPr>
  </w:style>
  <w:style w:customStyle="1" w:styleId="Heading3Char" w:type="character">
    <w:name w:val="Heading 3 Char"/>
    <w:aliases w:val="EDPB H3 Char,EDPB Heading 3 Char"/>
    <w:basedOn w:val="DefaultParagraphFont"/>
    <w:link w:val="Heading3"/>
    <w:uiPriority w:val="9"/>
    <w:rsid w:val="00002024"/>
    <w:rPr>
      <w:rFonts w:asciiTheme="majorHAnsi" w:cstheme="majorBidi" w:eastAsiaTheme="majorEastAsia" w:hAnsiTheme="majorHAnsi"/>
      <w:b/>
      <w:color w:themeColor="accent1" w:val="0A105D"/>
      <w:spacing w:val="10"/>
      <w:sz w:val="24"/>
      <w:szCs w:val="64"/>
    </w:rPr>
  </w:style>
  <w:style w:customStyle="1" w:styleId="Heading4Char" w:type="character">
    <w:name w:val="Heading 4 Char"/>
    <w:aliases w:val="EDPB H4 Char,EDPB Heading 4 Char"/>
    <w:basedOn w:val="DefaultParagraphFont"/>
    <w:link w:val="Heading4"/>
    <w:uiPriority w:val="9"/>
    <w:rsid w:val="00002024"/>
    <w:rPr>
      <w:rFonts w:asciiTheme="majorHAnsi" w:cstheme="majorBidi" w:eastAsiaTheme="majorEastAsia" w:hAnsiTheme="majorHAnsi"/>
      <w:b/>
      <w:color w:themeColor="accent2" w:val="08149C"/>
      <w:spacing w:val="10"/>
      <w:sz w:val="22"/>
      <w:szCs w:val="64"/>
    </w:rPr>
  </w:style>
  <w:style w:customStyle="1" w:styleId="Heading5Char" w:type="character">
    <w:name w:val="Heading 5 Char"/>
    <w:aliases w:val="EDPB H5 Char"/>
    <w:basedOn w:val="DefaultParagraphFont"/>
    <w:link w:val="Heading5"/>
    <w:uiPriority w:val="9"/>
    <w:rsid w:val="00002024"/>
    <w:rPr>
      <w:rFonts w:asciiTheme="majorHAnsi" w:cstheme="majorBidi" w:eastAsiaTheme="majorEastAsia" w:hAnsiTheme="majorHAnsi"/>
      <w:b/>
      <w:spacing w:val="10"/>
      <w:sz w:val="22"/>
      <w:szCs w:val="64"/>
    </w:rPr>
  </w:style>
  <w:style w:customStyle="1" w:styleId="Heading6Char" w:type="character">
    <w:name w:val="Heading 6 Char"/>
    <w:basedOn w:val="DefaultParagraphFont"/>
    <w:link w:val="Heading6"/>
    <w:uiPriority w:val="9"/>
    <w:rsid w:val="007B75F9"/>
    <w:rPr>
      <w:rFonts w:asciiTheme="majorHAnsi" w:cstheme="majorBidi" w:eastAsiaTheme="majorEastAsia" w:hAnsiTheme="majorHAnsi"/>
      <w:color w:themeColor="accent6" w:val="0A105D"/>
    </w:rPr>
  </w:style>
  <w:style w:customStyle="1" w:styleId="Heading7Char" w:type="character">
    <w:name w:val="Heading 7 Char"/>
    <w:basedOn w:val="DefaultParagraphFont"/>
    <w:link w:val="Heading7"/>
    <w:uiPriority w:val="9"/>
    <w:rsid w:val="007B75F9"/>
    <w:rPr>
      <w:rFonts w:asciiTheme="majorHAnsi" w:cstheme="majorBidi" w:eastAsiaTheme="majorEastAsia" w:hAnsiTheme="majorHAnsi"/>
      <w:b/>
      <w:bCs/>
      <w:color w:themeColor="accent6" w:val="0A105D"/>
    </w:rPr>
  </w:style>
  <w:style w:customStyle="1" w:styleId="Heading8Char" w:type="character">
    <w:name w:val="Heading 8 Char"/>
    <w:basedOn w:val="DefaultParagraphFont"/>
    <w:link w:val="Heading8"/>
    <w:uiPriority w:val="9"/>
    <w:rsid w:val="007B75F9"/>
    <w:rPr>
      <w:rFonts w:asciiTheme="majorHAnsi" w:cstheme="majorBidi" w:eastAsiaTheme="majorEastAsia" w:hAnsiTheme="majorHAnsi"/>
      <w:b/>
      <w:bCs/>
      <w:i/>
      <w:iCs/>
      <w:color w:themeColor="accent6" w:val="0A105D"/>
      <w:sz w:val="20"/>
      <w:szCs w:val="20"/>
    </w:rPr>
  </w:style>
  <w:style w:customStyle="1" w:styleId="Heading9Char" w:type="character">
    <w:name w:val="Heading 9 Char"/>
    <w:basedOn w:val="DefaultParagraphFont"/>
    <w:link w:val="Heading9"/>
    <w:uiPriority w:val="9"/>
    <w:rsid w:val="007B75F9"/>
    <w:rPr>
      <w:rFonts w:asciiTheme="majorHAnsi" w:cstheme="majorBidi" w:eastAsiaTheme="majorEastAsia" w:hAnsiTheme="majorHAnsi"/>
      <w:i/>
      <w:iCs/>
      <w:color w:themeColor="accent6" w:val="0A105D"/>
      <w:sz w:val="20"/>
      <w:szCs w:val="20"/>
    </w:rPr>
  </w:style>
  <w:style w:styleId="Title" w:type="paragraph">
    <w:name w:val="Title"/>
    <w:aliases w:val="Title EDPB doc"/>
    <w:basedOn w:val="Normal"/>
    <w:next w:val="Normal"/>
    <w:link w:val="TitleChar"/>
    <w:autoRedefine/>
    <w:uiPriority w:val="10"/>
    <w:qFormat/>
    <w:rsid w:val="00557DA5"/>
    <w:pPr>
      <w:spacing w:after="840" w:before="720" w:line="240" w:lineRule="auto"/>
      <w:ind w:left="227" w:right="227"/>
      <w:contextualSpacing/>
      <w:jc w:val="center"/>
      <w:outlineLvl w:val="0"/>
    </w:pPr>
    <w:rPr>
      <w:rFonts w:asciiTheme="majorHAnsi" w:cstheme="majorBidi" w:eastAsiaTheme="majorEastAsia" w:hAnsiTheme="majorHAnsi"/>
      <w:b/>
      <w:color w:val="002060"/>
      <w:spacing w:val="6"/>
      <w:sz w:val="40"/>
      <w:szCs w:val="64"/>
    </w:rPr>
  </w:style>
  <w:style w:customStyle="1" w:styleId="TitleChar" w:type="character">
    <w:name w:val="Title Char"/>
    <w:aliases w:val="Title EDPB doc Char"/>
    <w:basedOn w:val="DefaultParagraphFont"/>
    <w:link w:val="Title"/>
    <w:uiPriority w:val="10"/>
    <w:rsid w:val="00557DA5"/>
    <w:rPr>
      <w:rFonts w:asciiTheme="majorHAnsi" w:cstheme="majorBidi" w:eastAsiaTheme="majorEastAsia" w:hAnsiTheme="majorHAnsi"/>
      <w:b/>
      <w:color w:val="002060"/>
      <w:spacing w:val="6"/>
      <w:sz w:val="40"/>
      <w:szCs w:val="64"/>
    </w:rPr>
  </w:style>
  <w:style w:customStyle="1" w:styleId="Subtitle-EDPB" w:type="paragraph">
    <w:name w:val="Subtitle - EDPB"/>
    <w:next w:val="Normal"/>
    <w:autoRedefine/>
    <w:uiPriority w:val="1"/>
    <w:qFormat/>
    <w:rsid w:val="00557DA5"/>
    <w:rPr>
      <w:rFonts w:asciiTheme="majorHAnsi" w:cstheme="majorBidi" w:eastAsiaTheme="majorEastAsia" w:hAnsiTheme="majorHAnsi"/>
      <w:b/>
      <w:color w:val="002060"/>
      <w:spacing w:val="10"/>
      <w:sz w:val="32"/>
      <w:szCs w:val="64"/>
    </w:rPr>
  </w:style>
  <w:style w:customStyle="1" w:styleId="Subtitle2-EDPB" w:type="paragraph">
    <w:name w:val="Subtitle 2-EDPB"/>
    <w:next w:val="Normal"/>
    <w:autoRedefine/>
    <w:uiPriority w:val="1"/>
    <w:rsid w:val="000E559D"/>
    <w:rPr>
      <w:rFonts w:cs="Calibri" w:eastAsia="Times New Roman"/>
      <w:b/>
      <w:color w:themeColor="accent3" w:val="0A105D"/>
      <w:spacing w:val="8"/>
      <w:sz w:val="32"/>
      <w:szCs w:val="24"/>
    </w:rPr>
  </w:style>
  <w:style w:styleId="Strong" w:type="character">
    <w:name w:val="Strong"/>
    <w:aliases w:val="Strong - EDPB"/>
    <w:basedOn w:val="DefaultParagraphFont"/>
    <w:uiPriority w:val="22"/>
    <w:qFormat/>
    <w:rsid w:val="002A6295"/>
    <w:rPr>
      <w:rFonts w:ascii="Glory" w:hAnsi="Glory"/>
      <w:b/>
      <w:bCs/>
      <w:color w:themeColor="text1" w:val="000000"/>
      <w:sz w:val="22"/>
      <w:szCs w:val="22"/>
    </w:rPr>
  </w:style>
  <w:style w:styleId="Emphasis" w:type="character">
    <w:name w:val="Emphasis"/>
    <w:basedOn w:val="DefaultParagraphFont"/>
    <w:uiPriority w:val="2"/>
    <w:semiHidden/>
    <w:rsid w:val="00595B77"/>
    <w:rPr>
      <w:i/>
      <w:iCs/>
      <w:color w:themeColor="accent6" w:val="0A105D"/>
    </w:rPr>
  </w:style>
  <w:style w:styleId="NoSpacing" w:type="paragraph">
    <w:name w:val="No Spacing"/>
    <w:link w:val="NoSpacingChar"/>
    <w:uiPriority w:val="1"/>
    <w:unhideWhenUsed/>
    <w:qFormat/>
    <w:rsid w:val="00824179"/>
    <w:pPr>
      <w:spacing w:after="0" w:line="240" w:lineRule="auto"/>
    </w:pPr>
  </w:style>
  <w:style w:styleId="ListParagraph" w:type="paragraph">
    <w:name w:val="List Paragraph"/>
    <w:basedOn w:val="Normal"/>
    <w:uiPriority w:val="34"/>
    <w:qFormat/>
    <w:rsid w:val="00824179"/>
    <w:pPr>
      <w:ind w:left="720"/>
      <w:contextualSpacing/>
    </w:pPr>
  </w:style>
  <w:style w:styleId="Quote" w:type="paragraph">
    <w:name w:val="Quote"/>
    <w:basedOn w:val="Normal"/>
    <w:next w:val="Normal"/>
    <w:link w:val="QuoteChar"/>
    <w:uiPriority w:val="29"/>
    <w:rsid w:val="00824179"/>
    <w:pPr>
      <w:spacing w:before="160"/>
      <w:ind w:left="720" w:right="720"/>
      <w:jc w:val="center"/>
    </w:pPr>
    <w:rPr>
      <w:rFonts w:cstheme="minorBidi" w:eastAsiaTheme="minorEastAsia"/>
      <w:i/>
      <w:iCs/>
      <w:color w:themeColor="text1" w:themeTint="D9" w:val="262626"/>
      <w:sz w:val="21"/>
      <w:szCs w:val="21"/>
    </w:rPr>
  </w:style>
  <w:style w:customStyle="1" w:styleId="QuoteChar" w:type="character">
    <w:name w:val="Quote Char"/>
    <w:basedOn w:val="DefaultParagraphFont"/>
    <w:link w:val="Quote"/>
    <w:uiPriority w:val="29"/>
    <w:rsid w:val="00FE33F1"/>
    <w:rPr>
      <w:i/>
      <w:iCs/>
      <w:color w:themeColor="text1" w:themeTint="D9" w:val="262626"/>
    </w:rPr>
  </w:style>
  <w:style w:styleId="IntenseQuote" w:type="paragraph">
    <w:name w:val="Intense Quote"/>
    <w:basedOn w:val="Normal"/>
    <w:next w:val="Normal"/>
    <w:link w:val="IntenseQuoteChar"/>
    <w:uiPriority w:val="30"/>
    <w:rsid w:val="00824179"/>
    <w:pPr>
      <w:spacing w:before="160" w:line="264" w:lineRule="auto"/>
      <w:ind w:left="720" w:right="720"/>
      <w:jc w:val="center"/>
    </w:pPr>
    <w:rPr>
      <w:rFonts w:asciiTheme="majorHAnsi" w:cstheme="majorBidi" w:eastAsiaTheme="majorEastAsia" w:hAnsiTheme="majorHAnsi"/>
      <w:i/>
      <w:iCs/>
      <w:color w:themeColor="accent6" w:val="0A105D"/>
      <w:sz w:val="32"/>
      <w:szCs w:val="32"/>
    </w:rPr>
  </w:style>
  <w:style w:customStyle="1" w:styleId="IntenseQuoteChar" w:type="character">
    <w:name w:val="Intense Quote Char"/>
    <w:basedOn w:val="DefaultParagraphFont"/>
    <w:link w:val="IntenseQuote"/>
    <w:uiPriority w:val="30"/>
    <w:rsid w:val="00FE33F1"/>
    <w:rPr>
      <w:rFonts w:asciiTheme="majorHAnsi" w:cstheme="majorBidi" w:eastAsiaTheme="majorEastAsia" w:hAnsiTheme="majorHAnsi"/>
      <w:i/>
      <w:iCs/>
      <w:color w:themeColor="accent6" w:val="0A105D"/>
      <w:sz w:val="32"/>
      <w:szCs w:val="32"/>
    </w:rPr>
  </w:style>
  <w:style w:customStyle="1" w:styleId="Table2-EDPB" w:type="table">
    <w:name w:val="Table 2 - EDPB"/>
    <w:basedOn w:val="TableNormal"/>
    <w:uiPriority w:val="99"/>
    <w:rsid w:val="00E80001"/>
    <w:pPr>
      <w:spacing w:after="0" w:line="240" w:lineRule="auto"/>
    </w:pPr>
    <w:rPr>
      <w:sz w:val="20"/>
    </w:rPr>
    <w:tblPr>
      <w:tblBorders>
        <w:top w:color="0A105D" w:space="0" w:sz="4" w:themeColor="accent3" w:val="single"/>
        <w:left w:color="0A105D" w:space="0" w:sz="4" w:themeColor="accent3" w:val="single"/>
        <w:bottom w:color="0A105D" w:space="0" w:sz="4" w:themeColor="accent3" w:val="single"/>
        <w:right w:color="0A105D" w:space="0" w:sz="4" w:themeColor="accent3" w:val="single"/>
        <w:insideH w:color="0A105D" w:space="0" w:sz="4" w:themeColor="accent3" w:val="single"/>
        <w:insideV w:color="0A105D" w:space="0" w:sz="4" w:themeColor="accent3" w:val="single"/>
      </w:tblBorders>
    </w:tblPr>
    <w:tcPr>
      <w:shd w:color="auto" w:fill="auto" w:val="clear"/>
    </w:tcPr>
    <w:tblStylePr w:type="firstRow">
      <w:rPr>
        <w:b/>
        <w:sz w:val="22"/>
      </w:rPr>
      <w:tblPr/>
      <w:tcPr>
        <w:tcBorders>
          <w:top w:color="0A105D" w:space="0" w:sz="4" w:themeColor="accent3" w:val="single"/>
          <w:left w:color="0A105D" w:space="0" w:sz="4" w:themeColor="accent3" w:val="single"/>
          <w:bottom w:color="0A105D" w:space="0" w:sz="4" w:themeColor="accent3" w:val="single"/>
          <w:right w:color="0A105D" w:space="0" w:sz="4" w:themeColor="accent3" w:val="single"/>
          <w:insideH w:color="0A105D" w:space="0" w:sz="4" w:themeColor="accent3" w:val="single"/>
          <w:insideV w:color="0A105D" w:space="0" w:sz="4" w:themeColor="accent3" w:val="single"/>
        </w:tcBorders>
        <w:shd w:color="auto" w:fill="auto" w:val="clear"/>
      </w:tcPr>
    </w:tblStylePr>
  </w:style>
  <w:style w:styleId="IntenseEmphasis" w:type="character">
    <w:name w:val="Intense Emphasis"/>
    <w:aliases w:val="Instruction - EDPB"/>
    <w:basedOn w:val="DefaultParagraphFont"/>
    <w:uiPriority w:val="5"/>
    <w:qFormat/>
    <w:rsid w:val="00E67185"/>
    <w:rPr>
      <w:rFonts w:ascii="Glory" w:hAnsi="Glory"/>
      <w:bCs/>
      <w:iCs/>
      <w:color w:val="CC3300"/>
      <w:sz w:val="18"/>
    </w:rPr>
  </w:style>
  <w:style w:styleId="SubtleReference" w:type="character">
    <w:name w:val="Subtle Reference"/>
    <w:basedOn w:val="DefaultParagraphFont"/>
    <w:uiPriority w:val="31"/>
    <w:rsid w:val="00824179"/>
    <w:rPr>
      <w:smallCaps/>
      <w:color w:themeColor="text1" w:themeTint="A6" w:val="595959"/>
    </w:rPr>
  </w:style>
  <w:style w:styleId="IntenseReference" w:type="character">
    <w:name w:val="Intense Reference"/>
    <w:basedOn w:val="DefaultParagraphFont"/>
    <w:uiPriority w:val="32"/>
    <w:rsid w:val="00824179"/>
    <w:rPr>
      <w:b/>
      <w:bCs/>
      <w:smallCaps/>
      <w:color w:themeColor="accent6" w:val="0A105D"/>
    </w:rPr>
  </w:style>
  <w:style w:styleId="TOCHeading" w:type="paragraph">
    <w:name w:val="TOC Heading"/>
    <w:basedOn w:val="Heading1"/>
    <w:next w:val="Normal"/>
    <w:uiPriority w:val="39"/>
    <w:qFormat/>
    <w:rsid w:val="00595B77"/>
    <w:pPr>
      <w:outlineLvl w:val="9"/>
    </w:pPr>
  </w:style>
  <w:style w:styleId="ListTable1Light-Accent4" w:type="table">
    <w:name w:val="List Table 1 Light Accent 4"/>
    <w:basedOn w:val="TableNormal"/>
    <w:uiPriority w:val="46"/>
    <w:rsid w:val="0047378B"/>
    <w:pPr>
      <w:spacing w:after="0" w:line="240" w:lineRule="auto"/>
    </w:pPr>
    <w:tblPr>
      <w:tblStyleRowBandSize w:val="1"/>
      <w:tblStyleColBandSize w:val="1"/>
    </w:tblPr>
    <w:tblStylePr w:type="firstRow">
      <w:rPr>
        <w:b/>
        <w:bCs/>
      </w:rPr>
      <w:tblPr/>
      <w:tcPr>
        <w:tcBorders>
          <w:bottom w:color="9EDAFA" w:space="0" w:sz="4" w:themeColor="accent4" w:themeTint="99" w:val="single"/>
        </w:tcBorders>
      </w:tcPr>
    </w:tblStylePr>
    <w:tblStylePr w:type="lastRow">
      <w:rPr>
        <w:b/>
        <w:bCs/>
      </w:rPr>
      <w:tblPr/>
      <w:tcPr>
        <w:tcBorders>
          <w:top w:color="9EDAFA" w:space="0" w:sz="4" w:themeColor="accent4" w:themeTint="99" w:val="single"/>
        </w:tcBorders>
      </w:tcPr>
    </w:tblStylePr>
    <w:tblStylePr w:type="firstCol">
      <w:rPr>
        <w:b/>
        <w:bCs/>
      </w:rPr>
    </w:tblStylePr>
    <w:tblStylePr w:type="lastCol">
      <w:rPr>
        <w:b/>
        <w:bCs/>
      </w:rPr>
    </w:tblStylePr>
    <w:tblStylePr w:type="band1Vert">
      <w:tblPr/>
      <w:tcPr>
        <w:shd w:color="auto" w:fill="DEF2FD" w:themeFill="accent4" w:themeFillTint="33" w:val="clear"/>
      </w:tcPr>
    </w:tblStylePr>
    <w:tblStylePr w:type="band1Horz">
      <w:tblPr/>
      <w:tcPr>
        <w:shd w:color="auto" w:fill="DEF2FD" w:themeFill="accent4" w:themeFillTint="33" w:val="clear"/>
      </w:tcPr>
    </w:tblStylePr>
  </w:style>
  <w:style w:styleId="TableGrid" w:type="table">
    <w:name w:val="Table Grid"/>
    <w:aliases w:val="Table 1 - EDPB"/>
    <w:basedOn w:val="TableNormal"/>
    <w:uiPriority w:val="59"/>
    <w:rsid w:val="009A25EE"/>
    <w:rPr>
      <w:sz w:val="22"/>
    </w:rPr>
    <w:tblPr>
      <w:tblStyleRowBandSize w:val="1"/>
      <w:tblBorders>
        <w:right w:color="0A105D" w:space="0" w:sz="4" w:themeColor="accent1" w:val="single"/>
        <w:insideV w:color="0A105D" w:space="0" w:sz="4" w:themeColor="accent1" w:val="single"/>
      </w:tblBorders>
    </w:tblPr>
    <w:tcPr>
      <w:shd w:color="auto" w:fill="auto" w:val="clear"/>
    </w:tcPr>
    <w:tblStylePr w:type="firstRow">
      <w:rPr>
        <w:rFonts w:ascii="Glory" w:hAnsi="Glory"/>
        <w:b/>
        <w:sz w:val="22"/>
      </w:rPr>
      <w:tblPr/>
      <w:tcPr>
        <w:tcBorders>
          <w:top w:val="nil"/>
          <w:left w:val="nil"/>
          <w:bottom w:val="nil"/>
          <w:right w:val="nil"/>
          <w:insideH w:val="nil"/>
          <w:insideV w:color="000000" w:space="0" w:sz="4" w:themeColor="accent5" w:val="single"/>
          <w:tl2br w:val="nil"/>
          <w:tr2bl w:val="nil"/>
        </w:tcBorders>
        <w:shd w:color="auto" w:fill="auto" w:val="clear"/>
      </w:tcPr>
    </w:tblStylePr>
    <w:tblStylePr w:type="band1Horz">
      <w:rPr>
        <w:rFonts w:ascii="Glory" w:hAnsi="Glory"/>
        <w:sz w:val="22"/>
      </w:rPr>
      <w:tblPr/>
      <w:tcPr>
        <w:tcBorders>
          <w:top w:val="nil"/>
          <w:left w:val="nil"/>
          <w:bottom w:val="nil"/>
          <w:right w:val="nil"/>
          <w:insideH w:color="0A105D" w:space="0" w:sz="8" w:themeColor="accent1" w:val="single"/>
          <w:insideV w:color="0A105D" w:space="0" w:sz="8" w:themeColor="accent1" w:val="single"/>
          <w:tl2br w:val="nil"/>
          <w:tr2bl w:val="nil"/>
        </w:tcBorders>
        <w:shd w:color="auto" w:fill="E9ECEB" w:themeFill="background2" w:val="clear"/>
      </w:tcPr>
    </w:tblStylePr>
    <w:tblStylePr w:type="band2Horz">
      <w:tblPr/>
      <w:tcPr>
        <w:tcBorders>
          <w:top w:val="nil"/>
          <w:left w:val="nil"/>
          <w:bottom w:val="nil"/>
          <w:right w:val="nil"/>
          <w:insideH w:color="0A105D" w:space="0" w:sz="8" w:themeColor="accent6" w:val="single"/>
          <w:insideV w:color="0A105D" w:space="0" w:sz="8" w:themeColor="accent6" w:val="single"/>
        </w:tcBorders>
        <w:shd w:color="auto" w:fill="FFFFFF" w:themeFill="background1" w:val="clear"/>
      </w:tcPr>
    </w:tblStylePr>
  </w:style>
  <w:style w:styleId="Hyperlink" w:type="character">
    <w:name w:val="Hyperlink"/>
    <w:aliases w:val="Hyperlink-EDPB"/>
    <w:basedOn w:val="DefaultParagraphFont"/>
    <w:uiPriority w:val="99"/>
    <w:qFormat/>
    <w:rsid w:val="00081837"/>
    <w:rPr>
      <w:rFonts w:cs="Times New Roman"/>
      <w:color w:themeColor="hyperlink" w:val="08149C"/>
      <w:u w:val="single"/>
    </w:rPr>
  </w:style>
  <w:style w:styleId="FootnoteText" w:type="paragraph">
    <w:name w:val="footnote text"/>
    <w:aliases w:val="Footnote Text - EDPB"/>
    <w:basedOn w:val="Normal"/>
    <w:link w:val="FootnoteTextChar"/>
    <w:autoRedefine/>
    <w:uiPriority w:val="99"/>
    <w:qFormat/>
    <w:rsid w:val="00824179"/>
    <w:pPr>
      <w:spacing w:after="0" w:before="0"/>
      <w:jc w:val="left"/>
    </w:pPr>
    <w:rPr>
      <w:sz w:val="16"/>
      <w:szCs w:val="20"/>
    </w:rPr>
  </w:style>
  <w:style w:customStyle="1" w:styleId="FootnoteTextChar" w:type="character">
    <w:name w:val="Footnote Text Char"/>
    <w:aliases w:val="Footnote Text - EDPB Char"/>
    <w:basedOn w:val="DefaultParagraphFont"/>
    <w:link w:val="FootnoteText"/>
    <w:uiPriority w:val="99"/>
    <w:rsid w:val="00FE33F1"/>
    <w:rPr>
      <w:rFonts w:cs="Calibri" w:eastAsia="Times New Roman"/>
      <w:color w:themeColor="text1" w:val="000000"/>
      <w:sz w:val="16"/>
      <w:szCs w:val="20"/>
    </w:rPr>
  </w:style>
  <w:style w:styleId="FootnoteReference" w:type="character">
    <w:name w:val="footnote reference"/>
    <w:basedOn w:val="DefaultParagraphFont"/>
    <w:uiPriority w:val="99"/>
    <w:rsid w:val="00081837"/>
    <w:rPr>
      <w:rFonts w:cs="Times New Roman"/>
      <w:vertAlign w:val="superscript"/>
    </w:rPr>
  </w:style>
  <w:style w:customStyle="1" w:styleId="NumberedExampleinabox-EDPB" w:type="paragraph">
    <w:name w:val="Numbered Example in a box - EDPB"/>
    <w:basedOn w:val="Normal"/>
    <w:link w:val="NumberedExampleinabox-EDPBChar"/>
    <w:autoRedefine/>
    <w:uiPriority w:val="3"/>
    <w:qFormat/>
    <w:rsid w:val="00824179"/>
    <w:pPr>
      <w:numPr>
        <w:numId w:val="1"/>
      </w:numPr>
      <w:pBdr>
        <w:top w:color="0A105D" w:space="1" w:sz="12" w:themeColor="accent6" w:val="single"/>
        <w:bottom w:color="0A105D" w:space="1" w:sz="12" w:themeColor="accent6" w:val="single"/>
      </w:pBdr>
      <w:tabs>
        <w:tab w:pos="993" w:val="left"/>
        <w:tab w:pos="1701" w:val="left"/>
      </w:tabs>
      <w:ind w:hanging="1247" w:left="1672"/>
    </w:pPr>
    <w:rPr>
      <w:szCs w:val="22"/>
    </w:rPr>
  </w:style>
  <w:style w:customStyle="1" w:styleId="NumberedExampleinabox-EDPBChar" w:type="character">
    <w:name w:val="Numbered Example in a box - EDPB Char"/>
    <w:basedOn w:val="DefaultParagraphFont"/>
    <w:link w:val="NumberedExampleinabox-EDPB"/>
    <w:uiPriority w:val="3"/>
    <w:locked/>
    <w:rsid w:val="007B75F9"/>
    <w:rPr>
      <w:rFonts w:ascii="Glory" w:cs="Calibri" w:eastAsia="Times New Roman" w:hAnsi="Glory"/>
      <w:color w:themeColor="text1" w:val="000000"/>
      <w:sz w:val="22"/>
      <w:szCs w:val="22"/>
    </w:rPr>
  </w:style>
  <w:style w:styleId="TOC2" w:type="paragraph">
    <w:name w:val="toc 2"/>
    <w:basedOn w:val="Normal"/>
    <w:next w:val="Normal"/>
    <w:autoRedefine/>
    <w:uiPriority w:val="39"/>
    <w:rsid w:val="00BB6F65"/>
    <w:pPr>
      <w:tabs>
        <w:tab w:pos="880" w:val="left"/>
        <w:tab w:leader="dot" w:pos="9016" w:val="right"/>
      </w:tabs>
      <w:spacing w:after="100"/>
      <w:ind w:left="567"/>
    </w:pPr>
  </w:style>
  <w:style w:styleId="Caption" w:type="paragraph">
    <w:name w:val="caption"/>
    <w:aliases w:val="Caption images - EDPB"/>
    <w:basedOn w:val="Normal"/>
    <w:next w:val="Normal"/>
    <w:autoRedefine/>
    <w:uiPriority w:val="35"/>
    <w:qFormat/>
    <w:rsid w:val="00E80001"/>
    <w:pPr>
      <w:spacing w:before="0" w:line="240" w:lineRule="auto"/>
      <w:ind w:left="284"/>
      <w:jc w:val="left"/>
    </w:pPr>
    <w:rPr>
      <w:bCs/>
      <w:spacing w:val="4"/>
      <w:sz w:val="18"/>
    </w:rPr>
  </w:style>
  <w:style w:customStyle="1" w:styleId="Numberedparagraph-EDPB" w:type="paragraph">
    <w:name w:val="Numbered paragraph - EDPB"/>
    <w:basedOn w:val="NumberedParagraph"/>
    <w:link w:val="Numberedparagraph-EDPBChar"/>
    <w:uiPriority w:val="3"/>
    <w:qFormat/>
    <w:rsid w:val="00B3739D"/>
    <w:pPr>
      <w:numPr>
        <w:numId w:val="3"/>
      </w:numPr>
      <w:ind w:hanging="567" w:left="0"/>
    </w:pPr>
  </w:style>
  <w:style w:customStyle="1" w:styleId="NumberedParagraph" w:type="paragraph">
    <w:name w:val="Numbered Paragraph"/>
    <w:basedOn w:val="Normal"/>
    <w:autoRedefine/>
    <w:qFormat/>
    <w:rsid w:val="007A17E8"/>
    <w:pPr>
      <w:numPr>
        <w:numId w:val="2"/>
      </w:numPr>
    </w:pPr>
  </w:style>
  <w:style w:customStyle="1" w:styleId="Numberedparagraph-EDPBChar" w:type="character">
    <w:name w:val="Numbered paragraph - EDPB Char"/>
    <w:basedOn w:val="DefaultParagraphFont"/>
    <w:link w:val="Numberedparagraph-EDPB"/>
    <w:uiPriority w:val="3"/>
    <w:rsid w:val="00B3739D"/>
    <w:rPr>
      <w:rFonts w:ascii="Glory" w:cs="Calibri" w:eastAsia="Times New Roman" w:hAnsi="Glory"/>
      <w:color w:themeColor="text1" w:val="000000"/>
      <w:sz w:val="22"/>
      <w:szCs w:val="24"/>
    </w:rPr>
  </w:style>
  <w:style w:styleId="Header" w:type="paragraph">
    <w:name w:val="header"/>
    <w:basedOn w:val="Normal"/>
    <w:link w:val="HeaderChar"/>
    <w:uiPriority w:val="99"/>
    <w:rsid w:val="00690B21"/>
    <w:pPr>
      <w:tabs>
        <w:tab w:pos="4513" w:val="center"/>
        <w:tab w:pos="9026" w:val="right"/>
      </w:tabs>
      <w:spacing w:after="0" w:line="240" w:lineRule="auto"/>
    </w:pPr>
  </w:style>
  <w:style w:customStyle="1" w:styleId="HeaderChar" w:type="character">
    <w:name w:val="Header Char"/>
    <w:basedOn w:val="DefaultParagraphFont"/>
    <w:link w:val="Header"/>
    <w:uiPriority w:val="99"/>
    <w:rsid w:val="00FE33F1"/>
    <w:rPr>
      <w:rFonts w:cs="Calibri" w:eastAsia="Times New Roman"/>
      <w:color w:themeColor="text1" w:val="000000"/>
      <w:sz w:val="22"/>
      <w:szCs w:val="24"/>
    </w:rPr>
  </w:style>
  <w:style w:styleId="Footer" w:type="paragraph">
    <w:name w:val="footer"/>
    <w:basedOn w:val="Normal"/>
    <w:link w:val="FooterChar"/>
    <w:uiPriority w:val="99"/>
    <w:rsid w:val="00690B21"/>
    <w:pPr>
      <w:tabs>
        <w:tab w:pos="4513" w:val="center"/>
        <w:tab w:pos="9026" w:val="right"/>
      </w:tabs>
      <w:spacing w:after="0" w:line="240" w:lineRule="auto"/>
    </w:pPr>
  </w:style>
  <w:style w:customStyle="1" w:styleId="FooterChar" w:type="character">
    <w:name w:val="Footer Char"/>
    <w:basedOn w:val="DefaultParagraphFont"/>
    <w:link w:val="Footer"/>
    <w:uiPriority w:val="99"/>
    <w:rsid w:val="00FE33F1"/>
    <w:rPr>
      <w:rFonts w:cs="Calibri" w:eastAsia="Times New Roman"/>
      <w:color w:themeColor="text1" w:val="000000"/>
      <w:sz w:val="22"/>
      <w:szCs w:val="24"/>
    </w:rPr>
  </w:style>
  <w:style w:styleId="PlaceholderText" w:type="character">
    <w:name w:val="Placeholder Text"/>
    <w:basedOn w:val="DefaultParagraphFont"/>
    <w:uiPriority w:val="99"/>
    <w:rsid w:val="002321F7"/>
    <w:rPr>
      <w:color w:val="808080"/>
    </w:rPr>
  </w:style>
  <w:style w:customStyle="1" w:styleId="FooterEDPB" w:type="paragraph">
    <w:name w:val="Footer EDPB"/>
    <w:basedOn w:val="Footer"/>
    <w:link w:val="FooterEDPBChar"/>
    <w:uiPriority w:val="4"/>
    <w:qFormat/>
    <w:rsid w:val="00824179"/>
    <w:rPr>
      <w:color w:themeColor="text2" w:val="0A105D"/>
      <w:sz w:val="18"/>
      <w:szCs w:val="18"/>
    </w:rPr>
  </w:style>
  <w:style w:customStyle="1" w:styleId="FooterEDPBChar" w:type="character">
    <w:name w:val="Footer EDPB Char"/>
    <w:basedOn w:val="FooterChar"/>
    <w:link w:val="FooterEDPB"/>
    <w:uiPriority w:val="4"/>
    <w:rsid w:val="007B75F9"/>
    <w:rPr>
      <w:rFonts w:ascii="Glory" w:cs="Calibri" w:eastAsia="Times New Roman" w:hAnsi="Glory"/>
      <w:color w:themeColor="text2" w:val="0A105D"/>
      <w:sz w:val="18"/>
      <w:szCs w:val="18"/>
    </w:rPr>
  </w:style>
  <w:style w:styleId="CommentReference" w:type="character">
    <w:name w:val="annotation reference"/>
    <w:basedOn w:val="DefaultParagraphFont"/>
    <w:uiPriority w:val="99"/>
    <w:rsid w:val="00924240"/>
    <w:rPr>
      <w:rFonts w:cs="Times New Roman"/>
      <w:sz w:val="16"/>
      <w:szCs w:val="16"/>
    </w:rPr>
  </w:style>
  <w:style w:styleId="CommentText" w:type="paragraph">
    <w:name w:val="annotation text"/>
    <w:basedOn w:val="Normal"/>
    <w:link w:val="CommentTextChar"/>
    <w:uiPriority w:val="99"/>
    <w:rsid w:val="00924240"/>
    <w:pPr>
      <w:spacing w:after="160" w:before="0" w:line="240" w:lineRule="auto"/>
      <w:jc w:val="left"/>
    </w:pPr>
    <w:rPr>
      <w:rFonts w:cs="Times New Roman"/>
      <w:color w:val="auto"/>
      <w:sz w:val="20"/>
      <w:szCs w:val="20"/>
    </w:rPr>
  </w:style>
  <w:style w:customStyle="1" w:styleId="CommentTextChar" w:type="character">
    <w:name w:val="Comment Text Char"/>
    <w:basedOn w:val="DefaultParagraphFont"/>
    <w:link w:val="CommentText"/>
    <w:uiPriority w:val="99"/>
    <w:rsid w:val="00FE33F1"/>
    <w:rPr>
      <w:rFonts w:cs="Times New Roman" w:eastAsia="Times New Roman"/>
      <w:sz w:val="20"/>
      <w:szCs w:val="20"/>
    </w:rPr>
  </w:style>
  <w:style w:customStyle="1" w:styleId="NoSpacingChar" w:type="character">
    <w:name w:val="No Spacing Char"/>
    <w:basedOn w:val="DefaultParagraphFont"/>
    <w:link w:val="NoSpacing"/>
    <w:uiPriority w:val="1"/>
    <w:locked/>
    <w:rsid w:val="007B75F9"/>
  </w:style>
  <w:style w:styleId="TOC1" w:type="paragraph">
    <w:name w:val="toc 1"/>
    <w:basedOn w:val="Normal"/>
    <w:next w:val="Normal"/>
    <w:link w:val="TOC1Char"/>
    <w:autoRedefine/>
    <w:uiPriority w:val="39"/>
    <w:qFormat/>
    <w:rsid w:val="00824272"/>
    <w:pPr>
      <w:tabs>
        <w:tab w:pos="567" w:val="left"/>
        <w:tab w:leader="dot" w:pos="9016" w:val="right"/>
      </w:tabs>
      <w:spacing w:after="100"/>
      <w:jc w:val="left"/>
    </w:pPr>
    <w:rPr>
      <w:b/>
      <w:color w:themeColor="text2" w:val="0A105D"/>
    </w:rPr>
  </w:style>
  <w:style w:styleId="BalloonText" w:type="paragraph">
    <w:name w:val="Balloon Text"/>
    <w:basedOn w:val="Normal"/>
    <w:link w:val="BalloonTextChar"/>
    <w:uiPriority w:val="99"/>
    <w:rsid w:val="00924240"/>
    <w:pPr>
      <w:spacing w:after="0" w:before="0" w:line="240" w:lineRule="auto"/>
    </w:pPr>
    <w:rPr>
      <w:rFonts w:ascii="Segoe UI" w:cs="Segoe UI" w:hAnsi="Segoe UI"/>
      <w:sz w:val="18"/>
      <w:szCs w:val="18"/>
    </w:rPr>
  </w:style>
  <w:style w:customStyle="1" w:styleId="BalloonTextChar" w:type="character">
    <w:name w:val="Balloon Text Char"/>
    <w:basedOn w:val="DefaultParagraphFont"/>
    <w:link w:val="BalloonText"/>
    <w:uiPriority w:val="99"/>
    <w:rsid w:val="00FE33F1"/>
    <w:rPr>
      <w:rFonts w:ascii="Segoe UI" w:cs="Segoe UI" w:eastAsia="Times New Roman" w:hAnsi="Segoe UI"/>
      <w:color w:themeColor="text1" w:val="000000"/>
      <w:sz w:val="18"/>
      <w:szCs w:val="18"/>
    </w:rPr>
  </w:style>
  <w:style w:customStyle="1" w:styleId="TextInABox" w:type="paragraph">
    <w:name w:val="TextInABox"/>
    <w:basedOn w:val="Normal"/>
    <w:unhideWhenUsed/>
    <w:qFormat/>
    <w:rsid w:val="0025330E"/>
    <w:pPr>
      <w:pBdr>
        <w:top w:color="auto" w:space="1" w:sz="4" w:val="single"/>
        <w:left w:color="auto" w:space="4" w:sz="4" w:val="single"/>
        <w:bottom w:color="auto" w:space="1" w:sz="4" w:val="single"/>
        <w:right w:color="auto" w:space="4" w:sz="4" w:val="single"/>
      </w:pBdr>
      <w:spacing w:after="160" w:before="0"/>
    </w:pPr>
    <w:rPr>
      <w:rFonts w:cs="Times New Roman"/>
      <w:color w:val="auto"/>
      <w:szCs w:val="22"/>
    </w:rPr>
  </w:style>
  <w:style w:customStyle="1" w:styleId="UnnumberedSectionHeader" w:type="paragraph">
    <w:name w:val="UnnumberedSectionHeader"/>
    <w:basedOn w:val="Normal"/>
    <w:link w:val="UnnumberedSectionHeaderChar"/>
    <w:unhideWhenUsed/>
    <w:qFormat/>
    <w:rsid w:val="00824179"/>
    <w:pPr>
      <w:spacing w:after="160" w:before="240"/>
    </w:pPr>
    <w:rPr>
      <w:rFonts w:cs="Times New Roman"/>
      <w:i/>
      <w:color w:val="auto"/>
      <w:szCs w:val="22"/>
      <w:u w:val="single"/>
    </w:rPr>
  </w:style>
  <w:style w:customStyle="1" w:styleId="UnnumberedSectionHeaderChar" w:type="character">
    <w:name w:val="UnnumberedSectionHeader Char"/>
    <w:basedOn w:val="DefaultParagraphFont"/>
    <w:link w:val="UnnumberedSectionHeader"/>
    <w:locked/>
    <w:rsid w:val="007B75F9"/>
    <w:rPr>
      <w:rFonts w:ascii="Glory" w:cs="Times New Roman" w:eastAsia="Times New Roman" w:hAnsi="Glory"/>
      <w:i/>
      <w:sz w:val="22"/>
      <w:szCs w:val="22"/>
      <w:u w:val="single"/>
    </w:rPr>
  </w:style>
  <w:style w:customStyle="1" w:styleId="StarSpacer" w:type="paragraph">
    <w:name w:val="StarSpacer"/>
    <w:basedOn w:val="ListParagraph"/>
    <w:link w:val="StarSpacerChar"/>
    <w:unhideWhenUsed/>
    <w:qFormat/>
    <w:rsid w:val="00824179"/>
    <w:pPr>
      <w:spacing w:after="240" w:before="240"/>
      <w:ind w:left="0"/>
      <w:jc w:val="center"/>
    </w:pPr>
    <w:rPr>
      <w:rFonts w:cs="Times New Roman"/>
      <w:color w:val="auto"/>
      <w:szCs w:val="22"/>
    </w:rPr>
  </w:style>
  <w:style w:customStyle="1" w:styleId="StarSpacerChar" w:type="character">
    <w:name w:val="StarSpacer Char"/>
    <w:basedOn w:val="DefaultParagraphFont"/>
    <w:link w:val="StarSpacer"/>
    <w:locked/>
    <w:rsid w:val="007B75F9"/>
    <w:rPr>
      <w:rFonts w:ascii="Glory" w:cs="Times New Roman" w:eastAsia="Times New Roman" w:hAnsi="Glory"/>
      <w:sz w:val="22"/>
      <w:szCs w:val="22"/>
    </w:rPr>
  </w:style>
  <w:style w:styleId="TOC3" w:type="paragraph">
    <w:name w:val="toc 3"/>
    <w:basedOn w:val="Normal"/>
    <w:next w:val="Normal"/>
    <w:autoRedefine/>
    <w:uiPriority w:val="39"/>
    <w:rsid w:val="00BB6F65"/>
    <w:pPr>
      <w:tabs>
        <w:tab w:pos="1320" w:val="left"/>
        <w:tab w:leader="dot" w:pos="9016" w:val="right"/>
      </w:tabs>
      <w:spacing w:after="100"/>
      <w:ind w:left="794"/>
    </w:pPr>
  </w:style>
  <w:style w:customStyle="1" w:styleId="TOC1Char" w:type="character">
    <w:name w:val="TOC 1 Char"/>
    <w:basedOn w:val="DefaultParagraphFont"/>
    <w:link w:val="TOC1"/>
    <w:uiPriority w:val="39"/>
    <w:rsid w:val="00FE33F1"/>
    <w:rPr>
      <w:rFonts w:cs="Calibri" w:eastAsia="Times New Roman"/>
      <w:b/>
      <w:color w:themeColor="text2" w:val="0A105D"/>
      <w:sz w:val="22"/>
      <w:szCs w:val="24"/>
    </w:rPr>
  </w:style>
  <w:style w:styleId="PlainTable3" w:type="table">
    <w:name w:val="Plain Table 3"/>
    <w:basedOn w:val="TableNormal"/>
    <w:uiPriority w:val="43"/>
    <w:rsid w:val="0047378B"/>
    <w:pPr>
      <w:spacing w:after="0" w:line="240" w:lineRule="auto"/>
    </w:pPr>
    <w:tblPr>
      <w:tblStyleRowBandSize w:val="1"/>
      <w:tblStyleColBandSize w:val="1"/>
    </w:tblPr>
    <w:tblStylePr w:type="firstRow">
      <w:rPr>
        <w:b/>
        <w:bCs/>
        <w:caps/>
      </w:rPr>
      <w:tblPr/>
      <w:tcPr>
        <w:tcBorders>
          <w:bottom w:color="7F7F7F" w:space="0" w:sz="4" w:themeColor="text1" w:themeTint="80" w:val="single"/>
        </w:tcBorders>
      </w:tcPr>
    </w:tblStylePr>
    <w:tblStylePr w:type="lastRow">
      <w:rPr>
        <w:b/>
        <w:bCs/>
        <w:caps/>
      </w:rPr>
      <w:tblPr/>
      <w:tcPr>
        <w:tcBorders>
          <w:top w:val="nil"/>
        </w:tcBorders>
      </w:tcPr>
    </w:tblStylePr>
    <w:tblStylePr w:type="firstCol">
      <w:rPr>
        <w:b/>
        <w:bCs/>
        <w:caps/>
      </w:rPr>
      <w:tblPr/>
      <w:tcPr>
        <w:tcBorders>
          <w:right w:color="7F7F7F" w:space="0" w:sz="4" w:themeColor="text1" w:themeTint="80" w:val="single"/>
        </w:tcBorders>
      </w:tcPr>
    </w:tblStylePr>
    <w:tblStylePr w:type="lastCol">
      <w:rPr>
        <w:b/>
        <w:bCs/>
        <w:caps/>
      </w:rPr>
      <w:tblPr/>
      <w:tcPr>
        <w:tcBorders>
          <w:left w:val="nil"/>
        </w:tcBorders>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style>
  <w:style w:styleId="TOC4" w:type="paragraph">
    <w:name w:val="toc 4"/>
    <w:basedOn w:val="Normal"/>
    <w:next w:val="Normal"/>
    <w:autoRedefine/>
    <w:uiPriority w:val="39"/>
    <w:rsid w:val="00BB6F65"/>
    <w:pPr>
      <w:spacing w:after="100"/>
      <w:ind w:left="720"/>
    </w:pPr>
  </w:style>
  <w:style w:customStyle="1" w:styleId="Listbullets-EDPB" w:type="paragraph">
    <w:name w:val="List bullets - EDPB"/>
    <w:basedOn w:val="ListParagraph"/>
    <w:next w:val="Normal"/>
    <w:uiPriority w:val="3"/>
    <w:qFormat/>
    <w:rsid w:val="00AA2554"/>
    <w:pPr>
      <w:numPr>
        <w:numId w:val="4"/>
      </w:numPr>
    </w:pPr>
  </w:style>
  <w:style w:styleId="GridTable2-Accent3" w:type="table">
    <w:name w:val="Grid Table 2 Accent 3"/>
    <w:basedOn w:val="TableNormal"/>
    <w:uiPriority w:val="47"/>
    <w:rsid w:val="00AA2554"/>
    <w:pPr>
      <w:spacing w:after="0" w:line="240" w:lineRule="auto"/>
    </w:pPr>
    <w:tblPr>
      <w:tblStyleRowBandSize w:val="1"/>
      <w:tblStyleColBandSize w:val="1"/>
      <w:tblBorders>
        <w:top w:color="2230E7" w:space="0" w:sz="2" w:themeColor="accent3" w:themeTint="99" w:val="single"/>
        <w:bottom w:color="2230E7" w:space="0" w:sz="2" w:themeColor="accent3" w:themeTint="99" w:val="single"/>
        <w:insideH w:color="2230E7" w:space="0" w:sz="2" w:themeColor="accent3" w:themeTint="99" w:val="single"/>
        <w:insideV w:color="2230E7" w:space="0" w:sz="2" w:themeColor="accent3" w:themeTint="99" w:val="single"/>
      </w:tblBorders>
    </w:tblPr>
    <w:tblStylePr w:type="firstRow">
      <w:rPr>
        <w:b/>
        <w:bCs/>
      </w:rPr>
      <w:tblPr/>
      <w:tcPr>
        <w:tcBorders>
          <w:top w:val="nil"/>
          <w:bottom w:color="2230E7" w:space="0" w:sz="12" w:themeColor="accent3" w:themeTint="99" w:val="single"/>
          <w:insideH w:val="nil"/>
          <w:insideV w:val="nil"/>
        </w:tcBorders>
        <w:shd w:color="auto" w:fill="FFFFFF" w:themeFill="background1" w:val="clear"/>
      </w:tcPr>
    </w:tblStylePr>
    <w:tblStylePr w:type="lastRow">
      <w:rPr>
        <w:b/>
        <w:bCs/>
      </w:rPr>
      <w:tblPr/>
      <w:tcPr>
        <w:tcBorders>
          <w:top w:color="2230E7" w:space="0" w:sz="2" w:themeColor="accent3"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B5B9F7" w:themeFill="accent3" w:themeFillTint="33" w:val="clear"/>
      </w:tcPr>
    </w:tblStylePr>
    <w:tblStylePr w:type="band1Horz">
      <w:tblPr/>
      <w:tcPr>
        <w:shd w:color="auto" w:fill="B5B9F7" w:themeFill="accent3" w:themeFillTint="33" w:val="clear"/>
      </w:tcPr>
    </w:tblStylePr>
  </w:style>
  <w:style w:customStyle="1" w:styleId="Listofnumbers-EDPB" w:type="paragraph">
    <w:name w:val="List of numbers - EDPB"/>
    <w:basedOn w:val="Listbullets-EDPB"/>
    <w:next w:val="Normal"/>
    <w:autoRedefine/>
    <w:uiPriority w:val="3"/>
    <w:qFormat/>
    <w:rsid w:val="00446B6F"/>
    <w:pPr>
      <w:numPr>
        <w:numId w:val="5"/>
      </w:numPr>
    </w:pPr>
  </w:style>
  <w:style w:customStyle="1" w:styleId="Editorialinfo-version" w:type="paragraph">
    <w:name w:val="Editorial info - version"/>
    <w:aliases w:val="date-EDPB"/>
    <w:autoRedefine/>
    <w:uiPriority w:val="1"/>
    <w:qFormat/>
    <w:rsid w:val="00557DA5"/>
    <w:pPr>
      <w:jc w:val="center"/>
    </w:pPr>
    <w:rPr>
      <w:rFonts w:cs="Calibri" w:eastAsia="Times New Roman"/>
      <w:color w:themeColor="text2" w:val="0A105D"/>
      <w:sz w:val="28"/>
      <w:szCs w:val="32"/>
    </w:rPr>
  </w:style>
  <w:style w:styleId="GridTable5Dark-Accent1" w:type="table">
    <w:name w:val="Grid Table 5 Dark Accent 1"/>
    <w:basedOn w:val="TableNormal"/>
    <w:uiPriority w:val="50"/>
    <w:rsid w:val="0065506B"/>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B5B9F7" w:themeFill="accent1"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A105D" w:themeFill="accent1"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A105D" w:themeFill="accent1"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A105D" w:themeFill="accent1"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A105D" w:themeFill="accent1" w:val="clear"/>
      </w:tcPr>
    </w:tblStylePr>
    <w:tblStylePr w:type="band1Vert">
      <w:tblPr/>
      <w:tcPr>
        <w:shd w:color="auto" w:fill="6B75EF" w:themeFill="accent1" w:themeFillTint="66" w:val="clear"/>
      </w:tcPr>
    </w:tblStylePr>
    <w:tblStylePr w:type="band1Horz">
      <w:tblPr/>
      <w:tcPr>
        <w:shd w:color="auto" w:fill="6B75EF" w:themeFill="accent1" w:themeFillTint="66" w:val="clear"/>
      </w:tcPr>
    </w:tblStylePr>
  </w:style>
  <w:style w:styleId="PlainTable5" w:type="table">
    <w:name w:val="Plain Table 5"/>
    <w:aliases w:val="Table 3 - EDPB"/>
    <w:basedOn w:val="TableNormal"/>
    <w:uiPriority w:val="45"/>
    <w:rsid w:val="009A25EE"/>
    <w:pPr>
      <w:spacing w:after="0" w:line="240" w:lineRule="auto"/>
    </w:pPr>
    <w:tblPr>
      <w:tblStyleRowBandSize w:val="1"/>
      <w:tblStyleColBandSize w:val="1"/>
    </w:tblPr>
    <w:tblStylePr w:type="firstRow">
      <w:rPr>
        <w:rFonts w:asciiTheme="majorHAnsi" w:cstheme="majorBidi" w:eastAsiaTheme="majorEastAsia" w:hAnsiTheme="majorHAnsi"/>
        <w:b/>
        <w:i w:val="0"/>
        <w:iCs/>
        <w:sz w:val="26"/>
      </w:rPr>
      <w:tblPr/>
      <w:tcPr>
        <w:tcBorders>
          <w:bottom w:color="7F7F7F" w:space="0" w:sz="4" w:themeColor="text1" w:themeTint="80"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7F7F7F" w:space="0" w:sz="4" w:themeColor="text1" w:themeTint="80" w:val="single"/>
        </w:tcBorders>
        <w:shd w:color="auto" w:fill="FFFFFF" w:themeFill="background1" w:val="clear"/>
      </w:tcPr>
    </w:tblStylePr>
    <w:tblStylePr w:type="firstCol">
      <w:pPr>
        <w:jc w:val="right"/>
      </w:pPr>
      <w:rPr>
        <w:rFonts w:asciiTheme="majorHAnsi" w:cstheme="majorBidi" w:eastAsiaTheme="majorEastAsia" w:hAnsiTheme="majorHAnsi"/>
        <w:b/>
        <w:i w:val="0"/>
        <w:iCs/>
        <w:sz w:val="26"/>
      </w:rPr>
      <w:tblPr/>
      <w:tcPr>
        <w:tcBorders>
          <w:right w:color="7F7F7F" w:space="0" w:sz="4" w:themeColor="text1" w:themeTint="80"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7F7F7F" w:space="0" w:sz="4" w:themeColor="text1" w:themeTint="80" w:val="single"/>
        </w:tcBorders>
        <w:shd w:color="auto" w:fill="FFFFFF" w:themeFill="background1" w:val="clear"/>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GridTable1Light-Accent5" w:type="table">
    <w:name w:val="Grid Table 1 Light Accent 5"/>
    <w:basedOn w:val="TableNormal"/>
    <w:uiPriority w:val="46"/>
    <w:rsid w:val="004B5C8E"/>
    <w:pPr>
      <w:spacing w:after="0" w:line="240" w:lineRule="auto"/>
    </w:pPr>
    <w:rPr>
      <w:sz w:val="22"/>
    </w:rPr>
    <w:tblPr>
      <w:tblStyleRowBandSize w:val="1"/>
      <w:tblStyleColBandSize w:val="1"/>
    </w:tblPr>
    <w:tblStylePr w:type="firstRow">
      <w:rPr>
        <w:rFonts w:ascii="Glory" w:hAnsi="Glory"/>
        <w:b/>
        <w:bCs/>
        <w:color w:themeColor="accent1" w:val="0A105D"/>
        <w:sz w:val="28"/>
      </w:rPr>
      <w:tblPr/>
      <w:tcPr>
        <w:tcBorders>
          <w:bottom w:color="666666" w:space="0" w:sz="12" w:themeColor="accent5" w:themeTint="99" w:val="single"/>
        </w:tcBorders>
      </w:tcPr>
    </w:tblStylePr>
    <w:tblStylePr w:type="lastRow">
      <w:rPr>
        <w:b/>
        <w:bCs/>
      </w:rPr>
      <w:tblPr/>
      <w:tcPr>
        <w:tcBorders>
          <w:top w:color="666666" w:space="0" w:sz="2" w:themeColor="accent5" w:themeTint="99" w:val="double"/>
        </w:tcBorders>
      </w:tcPr>
    </w:tblStylePr>
    <w:tblStylePr w:type="firstCol">
      <w:rPr>
        <w:b/>
        <w:bCs/>
      </w:rPr>
    </w:tblStylePr>
    <w:tblStylePr w:type="lastCol">
      <w:rPr>
        <w:b/>
        <w:bCs/>
      </w:rPr>
    </w:tblStylePr>
  </w:style>
  <w:style w:customStyle="1" w:styleId="Table5-EDPB" w:type="table">
    <w:name w:val="Table 5 - EDPB"/>
    <w:basedOn w:val="TableNormal"/>
    <w:uiPriority w:val="99"/>
    <w:rsid w:val="004B5C8E"/>
    <w:pPr>
      <w:spacing w:after="0" w:line="240" w:lineRule="auto"/>
    </w:pPr>
    <w:rPr>
      <w:sz w:val="22"/>
    </w:rPr>
    <w:tblPr/>
    <w:tcPr>
      <w:vAlign w:val="center"/>
    </w:tcPr>
    <w:tblStylePr w:type="firstRow">
      <w:pPr>
        <w:jc w:val="left"/>
      </w:pPr>
      <w:rPr>
        <w:rFonts w:ascii="Glory" w:hAnsi="Glory"/>
        <w:b/>
        <w:sz w:val="28"/>
      </w:rPr>
      <w:tblPr/>
      <w:tcPr>
        <w:tcBorders>
          <w:top w:val="nil"/>
          <w:left w:val="nil"/>
          <w:bottom w:color="08149C" w:space="0" w:sz="12" w:themeColor="accent2" w:val="single"/>
          <w:right w:val="nil"/>
          <w:insideH w:val="nil"/>
          <w:insideV w:val="nil"/>
        </w:tcBorders>
        <w:vAlign w:val="center"/>
      </w:tcPr>
    </w:tblStylePr>
  </w:style>
  <w:style w:styleId="GridTable4-Accent1" w:type="table">
    <w:name w:val="Grid Table 4 Accent 1"/>
    <w:basedOn w:val="TableNormal"/>
    <w:uiPriority w:val="49"/>
    <w:rsid w:val="009A25EE"/>
    <w:pPr>
      <w:spacing w:after="0" w:line="240" w:lineRule="auto"/>
    </w:pPr>
    <w:tblPr>
      <w:tblStyleRowBandSize w:val="1"/>
      <w:tblStyleColBandSize w:val="1"/>
      <w:tblBorders>
        <w:top w:color="2230E7" w:space="0" w:sz="4" w:themeColor="accent1" w:themeTint="99" w:val="single"/>
        <w:left w:color="2230E7" w:space="0" w:sz="4" w:themeColor="accent1" w:themeTint="99" w:val="single"/>
        <w:bottom w:color="2230E7" w:space="0" w:sz="4" w:themeColor="accent1" w:themeTint="99" w:val="single"/>
        <w:right w:color="2230E7" w:space="0" w:sz="4" w:themeColor="accent1" w:themeTint="99" w:val="single"/>
        <w:insideH w:color="2230E7" w:space="0" w:sz="4" w:themeColor="accent1" w:themeTint="99" w:val="single"/>
        <w:insideV w:color="2230E7" w:space="0" w:sz="4" w:themeColor="accent1" w:themeTint="99" w:val="single"/>
      </w:tblBorders>
    </w:tblPr>
    <w:tblStylePr w:type="firstRow">
      <w:rPr>
        <w:b/>
        <w:bCs/>
        <w:color w:val="FFFFFF"/>
      </w:rPr>
      <w:tblPr/>
      <w:tcPr>
        <w:tcBorders>
          <w:top w:color="0A105D" w:space="0" w:sz="4" w:themeColor="accent1" w:val="single"/>
          <w:left w:color="0A105D" w:space="0" w:sz="4" w:themeColor="accent1" w:val="single"/>
          <w:bottom w:color="0A105D" w:space="0" w:sz="4" w:themeColor="accent1" w:val="single"/>
          <w:right w:color="0A105D" w:space="0" w:sz="4" w:themeColor="accent1" w:val="single"/>
          <w:insideH w:val="nil"/>
          <w:insideV w:val="nil"/>
        </w:tcBorders>
        <w:shd w:color="auto" w:fill="0A105D" w:themeFill="accent1" w:val="clear"/>
      </w:tcPr>
    </w:tblStylePr>
    <w:tblStylePr w:type="lastRow">
      <w:rPr>
        <w:b/>
        <w:bCs/>
      </w:rPr>
      <w:tblPr/>
      <w:tcPr>
        <w:tcBorders>
          <w:top w:color="0A105D" w:space="0" w:sz="4" w:themeColor="accent1" w:val="double"/>
        </w:tcBorders>
      </w:tcPr>
    </w:tblStylePr>
    <w:tblStylePr w:type="firstCol">
      <w:rPr>
        <w:b/>
        <w:bCs/>
      </w:rPr>
    </w:tblStylePr>
    <w:tblStylePr w:type="lastCol">
      <w:rPr>
        <w:b/>
        <w:bCs/>
      </w:rPr>
    </w:tblStylePr>
    <w:tblStylePr w:type="band1Vert">
      <w:tblPr/>
      <w:tcPr>
        <w:shd w:color="auto" w:fill="B5B9F7" w:themeFill="accent1" w:themeFillTint="33" w:val="clear"/>
      </w:tcPr>
    </w:tblStylePr>
    <w:tblStylePr w:type="band1Horz">
      <w:tblPr/>
      <w:tcPr>
        <w:shd w:color="auto" w:fill="B5B9F7" w:themeFill="accent1" w:themeFillTint="33" w:val="clear"/>
      </w:tcPr>
    </w:tblStylePr>
  </w:style>
  <w:style w:styleId="GridTable4-Accent3" w:type="table">
    <w:name w:val="Grid Table 4 Accent 3"/>
    <w:basedOn w:val="TableNormal"/>
    <w:uiPriority w:val="49"/>
    <w:rsid w:val="009A25EE"/>
    <w:pPr>
      <w:spacing w:after="0" w:line="240" w:lineRule="auto"/>
    </w:pPr>
    <w:tblPr>
      <w:tblStyleRowBandSize w:val="1"/>
      <w:tblStyleColBandSize w:val="1"/>
      <w:tblBorders>
        <w:top w:color="2230E7" w:space="0" w:sz="4" w:themeColor="accent3" w:themeTint="99" w:val="single"/>
        <w:left w:color="2230E7" w:space="0" w:sz="4" w:themeColor="accent3" w:themeTint="99" w:val="single"/>
        <w:bottom w:color="2230E7" w:space="0" w:sz="4" w:themeColor="accent3" w:themeTint="99" w:val="single"/>
        <w:right w:color="2230E7" w:space="0" w:sz="4" w:themeColor="accent3" w:themeTint="99" w:val="single"/>
        <w:insideH w:color="2230E7" w:space="0" w:sz="4" w:themeColor="accent3" w:themeTint="99" w:val="single"/>
        <w:insideV w:color="2230E7" w:space="0" w:sz="4" w:themeColor="accent3" w:themeTint="99" w:val="single"/>
      </w:tblBorders>
    </w:tblPr>
    <w:tblStylePr w:type="firstRow">
      <w:rPr>
        <w:b/>
        <w:bCs/>
        <w:color w:themeColor="background1" w:val="FFFFFF"/>
      </w:rPr>
      <w:tblPr/>
      <w:tcPr>
        <w:tcBorders>
          <w:top w:color="0A105D" w:space="0" w:sz="4" w:themeColor="accent3" w:val="single"/>
          <w:left w:color="0A105D" w:space="0" w:sz="4" w:themeColor="accent3" w:val="single"/>
          <w:bottom w:color="0A105D" w:space="0" w:sz="4" w:themeColor="accent3" w:val="single"/>
          <w:right w:color="0A105D" w:space="0" w:sz="4" w:themeColor="accent3" w:val="single"/>
          <w:insideH w:val="nil"/>
          <w:insideV w:val="nil"/>
        </w:tcBorders>
        <w:shd w:color="auto" w:fill="0A105D" w:themeFill="accent3" w:val="clear"/>
      </w:tcPr>
    </w:tblStylePr>
    <w:tblStylePr w:type="lastRow">
      <w:rPr>
        <w:b/>
        <w:bCs/>
      </w:rPr>
      <w:tblPr/>
      <w:tcPr>
        <w:tcBorders>
          <w:top w:color="0A105D" w:space="0" w:sz="4" w:themeColor="accent3" w:val="double"/>
        </w:tcBorders>
      </w:tcPr>
    </w:tblStylePr>
    <w:tblStylePr w:type="firstCol">
      <w:rPr>
        <w:b/>
        <w:bCs/>
      </w:rPr>
    </w:tblStylePr>
    <w:tblStylePr w:type="lastCol">
      <w:rPr>
        <w:b/>
        <w:bCs/>
      </w:rPr>
    </w:tblStylePr>
    <w:tblStylePr w:type="band1Vert">
      <w:tblPr/>
      <w:tcPr>
        <w:shd w:color="auto" w:fill="B5B9F7" w:themeFill="accent3" w:themeFillTint="33" w:val="clear"/>
      </w:tcPr>
    </w:tblStylePr>
    <w:tblStylePr w:type="band1Horz">
      <w:tblPr/>
      <w:tcPr>
        <w:shd w:color="auto" w:fill="B5B9F7" w:themeFill="accent3" w:themeFillTint="33" w:val="clear"/>
      </w:tcPr>
    </w:tblStylePr>
  </w:style>
  <w:style w:styleId="GridTable4-Accent4" w:type="table">
    <w:name w:val="Grid Table 4 Accent 4"/>
    <w:basedOn w:val="TableNormal"/>
    <w:uiPriority w:val="49"/>
    <w:rsid w:val="009A25EE"/>
    <w:pPr>
      <w:spacing w:after="0" w:line="240" w:lineRule="auto"/>
    </w:pPr>
    <w:tblPr>
      <w:tblStyleRowBandSize w:val="1"/>
      <w:tblStyleColBandSize w:val="1"/>
      <w:tblBorders>
        <w:top w:color="9EDAFA" w:space="0" w:sz="4" w:themeColor="accent4" w:themeTint="99" w:val="single"/>
        <w:left w:color="9EDAFA" w:space="0" w:sz="4" w:themeColor="accent4" w:themeTint="99" w:val="single"/>
        <w:bottom w:color="9EDAFA" w:space="0" w:sz="4" w:themeColor="accent4" w:themeTint="99" w:val="single"/>
        <w:right w:color="9EDAFA" w:space="0" w:sz="4" w:themeColor="accent4" w:themeTint="99" w:val="single"/>
        <w:insideH w:color="9EDAFA" w:space="0" w:sz="4" w:themeColor="accent4" w:themeTint="99" w:val="single"/>
        <w:insideV w:color="9EDAFA" w:space="0" w:sz="4" w:themeColor="accent4" w:themeTint="99" w:val="single"/>
      </w:tblBorders>
    </w:tblPr>
    <w:tblStylePr w:type="firstRow">
      <w:rPr>
        <w:b/>
        <w:bCs/>
        <w:color w:themeColor="background1" w:val="FFFFFF"/>
      </w:rPr>
      <w:tblPr/>
      <w:tcPr>
        <w:tcBorders>
          <w:top w:color="5EC2F7" w:space="0" w:sz="4" w:themeColor="accent4" w:val="single"/>
          <w:left w:color="5EC2F7" w:space="0" w:sz="4" w:themeColor="accent4" w:val="single"/>
          <w:bottom w:color="5EC2F7" w:space="0" w:sz="4" w:themeColor="accent4" w:val="single"/>
          <w:right w:color="5EC2F7" w:space="0" w:sz="4" w:themeColor="accent4" w:val="single"/>
          <w:insideH w:val="nil"/>
          <w:insideV w:val="nil"/>
        </w:tcBorders>
        <w:shd w:color="auto" w:fill="5EC2F7" w:themeFill="accent4" w:val="clear"/>
      </w:tcPr>
    </w:tblStylePr>
    <w:tblStylePr w:type="lastRow">
      <w:rPr>
        <w:b/>
        <w:bCs/>
      </w:rPr>
      <w:tblPr/>
      <w:tcPr>
        <w:tcBorders>
          <w:top w:color="5EC2F7" w:space="0" w:sz="4" w:themeColor="accent4" w:val="double"/>
        </w:tcBorders>
      </w:tcPr>
    </w:tblStylePr>
    <w:tblStylePr w:type="firstCol">
      <w:rPr>
        <w:b/>
        <w:bCs/>
      </w:rPr>
    </w:tblStylePr>
    <w:tblStylePr w:type="lastCol">
      <w:rPr>
        <w:b/>
        <w:bCs/>
      </w:rPr>
    </w:tblStylePr>
    <w:tblStylePr w:type="band1Vert">
      <w:tblPr/>
      <w:tcPr>
        <w:shd w:color="auto" w:fill="DEF2FD" w:themeFill="accent4" w:themeFillTint="33" w:val="clear"/>
      </w:tcPr>
    </w:tblStylePr>
    <w:tblStylePr w:type="band1Horz">
      <w:tblPr/>
      <w:tcPr>
        <w:shd w:color="auto" w:fill="DEF2FD" w:themeFill="accent4" w:themeFillTint="33" w:val="clear"/>
      </w:tcPr>
    </w:tblStylePr>
  </w:style>
  <w:style w:styleId="GridTable4-Accent2" w:type="table">
    <w:name w:val="Grid Table 4 Accent 2"/>
    <w:basedOn w:val="TableNormal"/>
    <w:uiPriority w:val="49"/>
    <w:rsid w:val="009A25EE"/>
    <w:pPr>
      <w:spacing w:after="0" w:line="240" w:lineRule="auto"/>
    </w:pPr>
    <w:tblPr>
      <w:tblStyleRowBandSize w:val="1"/>
      <w:tblStyleColBandSize w:val="1"/>
      <w:tblBorders>
        <w:top w:color="3948F4" w:space="0" w:sz="4" w:themeColor="accent2" w:themeTint="99" w:val="single"/>
        <w:left w:color="3948F4" w:space="0" w:sz="4" w:themeColor="accent2" w:themeTint="99" w:val="single"/>
        <w:bottom w:color="3948F4" w:space="0" w:sz="4" w:themeColor="accent2" w:themeTint="99" w:val="single"/>
        <w:right w:color="3948F4" w:space="0" w:sz="4" w:themeColor="accent2" w:themeTint="99" w:val="single"/>
        <w:insideH w:color="3948F4" w:space="0" w:sz="4" w:themeColor="accent2" w:themeTint="99" w:val="single"/>
        <w:insideV w:color="3948F4" w:space="0" w:sz="4" w:themeColor="accent2" w:themeTint="99" w:val="single"/>
      </w:tblBorders>
    </w:tblPr>
    <w:tblStylePr w:type="firstRow">
      <w:rPr>
        <w:b/>
        <w:bCs/>
        <w:color w:themeColor="background1" w:val="FFFFFF"/>
      </w:rPr>
      <w:tblPr/>
      <w:tcPr>
        <w:tcBorders>
          <w:top w:color="08149C" w:space="0" w:sz="4" w:themeColor="accent2" w:val="single"/>
          <w:left w:color="08149C" w:space="0" w:sz="4" w:themeColor="accent2" w:val="single"/>
          <w:bottom w:color="08149C" w:space="0" w:sz="4" w:themeColor="accent2" w:val="single"/>
          <w:right w:color="08149C" w:space="0" w:sz="4" w:themeColor="accent2" w:val="single"/>
          <w:insideH w:val="nil"/>
          <w:insideV w:val="nil"/>
        </w:tcBorders>
        <w:shd w:color="auto" w:fill="08149C" w:themeFill="accent2" w:val="clear"/>
      </w:tcPr>
    </w:tblStylePr>
    <w:tblStylePr w:type="lastRow">
      <w:rPr>
        <w:b/>
        <w:bCs/>
      </w:rPr>
      <w:tblPr/>
      <w:tcPr>
        <w:tcBorders>
          <w:top w:color="08149C" w:space="0" w:sz="4" w:themeColor="accent2" w:val="double"/>
        </w:tcBorders>
      </w:tcPr>
    </w:tblStylePr>
    <w:tblStylePr w:type="firstCol">
      <w:rPr>
        <w:b/>
        <w:bCs/>
      </w:rPr>
    </w:tblStylePr>
    <w:tblStylePr w:type="lastCol">
      <w:rPr>
        <w:b/>
        <w:bCs/>
      </w:rPr>
    </w:tblStylePr>
    <w:tblStylePr w:type="band1Vert">
      <w:tblPr/>
      <w:tcPr>
        <w:shd w:color="auto" w:fill="BDC1FB" w:themeFill="accent2" w:themeFillTint="33" w:val="clear"/>
      </w:tcPr>
    </w:tblStylePr>
    <w:tblStylePr w:type="band1Horz">
      <w:tblPr/>
      <w:tcPr>
        <w:shd w:color="auto" w:fill="BDC1FB" w:themeFill="accent2" w:themeFillTint="33" w:val="clear"/>
      </w:tcPr>
    </w:tblStylePr>
  </w:style>
  <w:style w:styleId="GridTable5Dark" w:type="table">
    <w:name w:val="Grid Table 5 Dark"/>
    <w:basedOn w:val="TableNormal"/>
    <w:uiPriority w:val="50"/>
    <w:rsid w:val="009A25EE"/>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CCCCCC" w:themeFill="text1"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00000" w:themeFill="text1"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00000" w:themeFill="text1"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00000" w:themeFill="text1"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00000" w:themeFill="text1" w:val="clear"/>
      </w:tcPr>
    </w:tblStylePr>
    <w:tblStylePr w:type="band1Vert">
      <w:tblPr/>
      <w:tcPr>
        <w:shd w:color="auto" w:fill="999999" w:themeFill="text1" w:themeFillTint="66" w:val="clear"/>
      </w:tcPr>
    </w:tblStylePr>
    <w:tblStylePr w:type="band1Horz">
      <w:tblPr/>
      <w:tcPr>
        <w:shd w:color="auto" w:fill="999999" w:themeFill="text1" w:themeFillTint="66" w:val="clear"/>
      </w:tcPr>
    </w:tblStylePr>
  </w:style>
  <w:style w:styleId="GridTable5Dark-Accent2" w:type="table">
    <w:name w:val="Grid Table 5 Dark Accent 2"/>
    <w:basedOn w:val="TableNormal"/>
    <w:uiPriority w:val="50"/>
    <w:rsid w:val="009A25EE"/>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BDC1FB" w:themeFill="accent2"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8149C" w:themeFill="accent2"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8149C" w:themeFill="accent2"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8149C" w:themeFill="accent2"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8149C" w:themeFill="accent2" w:val="clear"/>
      </w:tcPr>
    </w:tblStylePr>
    <w:tblStylePr w:type="band1Vert">
      <w:tblPr/>
      <w:tcPr>
        <w:shd w:color="auto" w:fill="7B84F8" w:themeFill="accent2" w:themeFillTint="66" w:val="clear"/>
      </w:tcPr>
    </w:tblStylePr>
    <w:tblStylePr w:type="band1Horz">
      <w:tblPr/>
      <w:tcPr>
        <w:shd w:color="auto" w:fill="7B84F8" w:themeFill="accent2" w:themeFillTint="66" w:val="clear"/>
      </w:tcPr>
    </w:tblStylePr>
  </w:style>
  <w:style w:styleId="GridTable5Dark-Accent3" w:type="table">
    <w:name w:val="Grid Table 5 Dark Accent 3"/>
    <w:basedOn w:val="TableNormal"/>
    <w:uiPriority w:val="50"/>
    <w:rsid w:val="009A25EE"/>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B5B9F7" w:themeFill="accent3"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A105D" w:themeFill="accent3"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A105D" w:themeFill="accent3"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A105D" w:themeFill="accent3"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A105D" w:themeFill="accent3" w:val="clear"/>
      </w:tcPr>
    </w:tblStylePr>
    <w:tblStylePr w:type="band1Vert">
      <w:tblPr/>
      <w:tcPr>
        <w:shd w:color="auto" w:fill="6B75EF" w:themeFill="accent3" w:themeFillTint="66" w:val="clear"/>
      </w:tcPr>
    </w:tblStylePr>
    <w:tblStylePr w:type="band1Horz">
      <w:tblPr/>
      <w:tcPr>
        <w:shd w:color="auto" w:fill="6B75EF" w:themeFill="accent3" w:themeFillTint="66" w:val="clear"/>
      </w:tcPr>
    </w:tblStylePr>
  </w:style>
  <w:style w:styleId="GridTable5Dark-Accent6" w:type="table">
    <w:name w:val="Grid Table 5 Dark Accent 6"/>
    <w:basedOn w:val="TableNormal"/>
    <w:uiPriority w:val="50"/>
    <w:rsid w:val="009A25EE"/>
    <w:pPr>
      <w:spacing w:after="0" w:line="240" w:lineRule="auto"/>
    </w:pPr>
    <w:rPr>
      <w:color w:themeColor="background1" w:themeShade="D9" w:val="D9D9D9"/>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B5B9F7" w:themeFill="accent6"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A105D" w:themeFill="accent6"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A105D" w:themeFill="accent6"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A105D" w:themeFill="accent6"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A105D" w:themeFill="accent6" w:val="clear"/>
      </w:tcPr>
    </w:tblStylePr>
    <w:tblStylePr w:type="band1Vert">
      <w:tblPr/>
      <w:tcPr>
        <w:shd w:color="auto" w:fill="6B75EF" w:themeFill="accent6" w:themeFillTint="66" w:val="clear"/>
      </w:tcPr>
    </w:tblStylePr>
    <w:tblStylePr w:type="band1Horz">
      <w:tblPr/>
      <w:tcPr>
        <w:shd w:color="auto" w:fill="6B75EF" w:themeFill="accent6" w:themeFillTint="66" w:val="clear"/>
      </w:tcPr>
    </w:tblStylePr>
  </w:style>
  <w:style w:styleId="GridTable1Light-Accent1" w:type="table">
    <w:name w:val="Grid Table 1 Light Accent 1"/>
    <w:aliases w:val="Table 4 - EDPB"/>
    <w:basedOn w:val="TableNormal"/>
    <w:uiPriority w:val="46"/>
    <w:rsid w:val="009A25EE"/>
    <w:pPr>
      <w:spacing w:after="0" w:line="240" w:lineRule="auto"/>
    </w:pPr>
    <w:tblPr>
      <w:tblStyleRowBandSize w:val="1"/>
      <w:tblStyleColBandSize w:val="1"/>
      <w:tblBorders>
        <w:top w:color="6B75EF" w:space="0" w:sz="4" w:themeColor="accent1" w:themeTint="66" w:val="single"/>
        <w:left w:color="6B75EF" w:space="0" w:sz="4" w:themeColor="accent1" w:themeTint="66" w:val="single"/>
        <w:bottom w:color="6B75EF" w:space="0" w:sz="4" w:themeColor="accent1" w:themeTint="66" w:val="single"/>
        <w:right w:color="6B75EF" w:space="0" w:sz="4" w:themeColor="accent1" w:themeTint="66" w:val="single"/>
        <w:insideH w:color="6B75EF" w:space="0" w:sz="4" w:themeColor="accent1" w:themeTint="66" w:val="single"/>
        <w:insideV w:color="6B75EF" w:space="0" w:sz="4" w:themeColor="accent1" w:themeTint="66" w:val="single"/>
      </w:tblBorders>
    </w:tblPr>
    <w:tblStylePr w:type="firstRow">
      <w:rPr>
        <w:b/>
        <w:bCs/>
      </w:rPr>
      <w:tblPr/>
      <w:tcPr>
        <w:tcBorders>
          <w:bottom w:color="2230E7" w:space="0" w:sz="12" w:themeColor="accent1" w:themeTint="99" w:val="single"/>
        </w:tcBorders>
      </w:tcPr>
    </w:tblStylePr>
    <w:tblStylePr w:type="lastRow">
      <w:rPr>
        <w:b/>
        <w:bCs/>
      </w:rPr>
      <w:tblPr/>
      <w:tcPr>
        <w:tcBorders>
          <w:top w:color="2230E7" w:space="0" w:sz="2" w:themeColor="accent1" w:themeTint="99" w:val="double"/>
        </w:tcBorders>
      </w:tcPr>
    </w:tblStylePr>
    <w:tblStylePr w:type="firstCol">
      <w:rPr>
        <w:b/>
        <w:bCs/>
      </w:rPr>
    </w:tblStylePr>
    <w:tblStylePr w:type="lastCol">
      <w:rPr>
        <w:b/>
        <w:bCs/>
      </w:rPr>
    </w:tblStylePr>
  </w:style>
  <w:style w:styleId="GridTable1Light-Accent3" w:type="table">
    <w:name w:val="Grid Table 1 Light Accent 3"/>
    <w:basedOn w:val="TableNormal"/>
    <w:uiPriority w:val="46"/>
    <w:rsid w:val="009A25EE"/>
    <w:pPr>
      <w:spacing w:after="0" w:line="240" w:lineRule="auto"/>
    </w:pPr>
    <w:tblPr>
      <w:tblStyleRowBandSize w:val="1"/>
      <w:tblStyleColBandSize w:val="1"/>
      <w:tblBorders>
        <w:top w:color="6B75EF" w:space="0" w:sz="4" w:themeColor="accent3" w:themeTint="66" w:val="single"/>
        <w:left w:color="6B75EF" w:space="0" w:sz="4" w:themeColor="accent3" w:themeTint="66" w:val="single"/>
        <w:bottom w:color="6B75EF" w:space="0" w:sz="4" w:themeColor="accent3" w:themeTint="66" w:val="single"/>
        <w:right w:color="6B75EF" w:space="0" w:sz="4" w:themeColor="accent3" w:themeTint="66" w:val="single"/>
        <w:insideH w:color="6B75EF" w:space="0" w:sz="4" w:themeColor="accent3" w:themeTint="66" w:val="single"/>
        <w:insideV w:color="6B75EF" w:space="0" w:sz="4" w:themeColor="accent3" w:themeTint="66" w:val="single"/>
      </w:tblBorders>
    </w:tblPr>
    <w:tblStylePr w:type="firstRow">
      <w:rPr>
        <w:b/>
        <w:bCs/>
      </w:rPr>
      <w:tblPr/>
      <w:tcPr>
        <w:tcBorders>
          <w:bottom w:color="2230E7" w:space="0" w:sz="12" w:themeColor="accent3" w:themeTint="99" w:val="single"/>
        </w:tcBorders>
      </w:tcPr>
    </w:tblStylePr>
    <w:tblStylePr w:type="lastRow">
      <w:rPr>
        <w:b/>
        <w:bCs/>
      </w:rPr>
      <w:tblPr/>
      <w:tcPr>
        <w:tcBorders>
          <w:top w:color="2230E7" w:space="0" w:sz="2" w:themeColor="accent3" w:themeTint="99" w:val="double"/>
        </w:tcBorders>
      </w:tcPr>
    </w:tblStylePr>
    <w:tblStylePr w:type="firstCol">
      <w:rPr>
        <w:b/>
        <w:bCs/>
      </w:rPr>
    </w:tblStylePr>
    <w:tblStylePr w:type="lastCol">
      <w:rPr>
        <w:b/>
        <w:bCs/>
      </w:rPr>
    </w:tblStylePr>
  </w:style>
  <w:style w:styleId="GridTable3-Accent5" w:type="table">
    <w:name w:val="Grid Table 3 Accent 5"/>
    <w:basedOn w:val="TableNormal"/>
    <w:uiPriority w:val="48"/>
    <w:rsid w:val="009A25EE"/>
    <w:pPr>
      <w:spacing w:after="0" w:line="240" w:lineRule="auto"/>
    </w:pPr>
    <w:tblPr>
      <w:tblStyleRowBandSize w:val="1"/>
      <w:tblStyleColBandSize w:val="1"/>
      <w:tblBorders>
        <w:top w:color="666666" w:space="0" w:sz="4" w:themeColor="accent5" w:themeTint="99" w:val="single"/>
        <w:left w:color="666666" w:space="0" w:sz="4" w:themeColor="accent5" w:themeTint="99" w:val="single"/>
        <w:bottom w:color="666666" w:space="0" w:sz="4" w:themeColor="accent5" w:themeTint="99" w:val="single"/>
        <w:right w:color="666666" w:space="0" w:sz="4" w:themeColor="accent5" w:themeTint="99" w:val="single"/>
        <w:insideH w:color="666666" w:space="0" w:sz="4" w:themeColor="accent5" w:themeTint="99" w:val="single"/>
        <w:insideV w:color="666666" w:space="0" w:sz="4" w:themeColor="accent5" w:themeTint="99" w:val="single"/>
      </w:tblBorders>
    </w:tblPr>
    <w:tblStylePr w:type="firstRow">
      <w:rPr>
        <w:b/>
        <w:bCs/>
        <w:i w:val="0"/>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val="0"/>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accent5" w:themeFillTint="33" w:val="clear"/>
      </w:tcPr>
    </w:tblStylePr>
    <w:tblStylePr w:type="band1Horz">
      <w:tblPr/>
      <w:tcPr>
        <w:shd w:color="auto" w:fill="CCCCCC" w:themeFill="accent5" w:themeFillTint="33" w:val="clear"/>
      </w:tcPr>
    </w:tblStylePr>
    <w:tblStylePr w:type="neCell">
      <w:tblPr/>
      <w:tcPr>
        <w:tcBorders>
          <w:bottom w:color="666666" w:space="0" w:sz="4" w:themeColor="accent5" w:themeTint="99" w:val="single"/>
        </w:tcBorders>
      </w:tcPr>
    </w:tblStylePr>
    <w:tblStylePr w:type="nwCell">
      <w:tblPr/>
      <w:tcPr>
        <w:tcBorders>
          <w:bottom w:color="666666" w:space="0" w:sz="4" w:themeColor="accent5" w:themeTint="99" w:val="single"/>
        </w:tcBorders>
      </w:tcPr>
    </w:tblStylePr>
    <w:tblStylePr w:type="seCell">
      <w:tblPr/>
      <w:tcPr>
        <w:tcBorders>
          <w:top w:color="666666" w:space="0" w:sz="4" w:themeColor="accent5" w:themeTint="99" w:val="single"/>
        </w:tcBorders>
      </w:tcPr>
    </w:tblStylePr>
    <w:tblStylePr w:type="swCell">
      <w:tblPr/>
      <w:tcPr>
        <w:tcBorders>
          <w:top w:color="666666" w:space="0" w:sz="4" w:themeColor="accent5" w:themeTint="99" w:val="single"/>
        </w:tcBorders>
      </w:tcPr>
    </w:tblStylePr>
  </w:style>
  <w:style w:styleId="GridTable7Colorful-Accent3" w:type="table">
    <w:name w:val="Grid Table 7 Colorful Accent 3"/>
    <w:basedOn w:val="TableNormal"/>
    <w:uiPriority w:val="52"/>
    <w:rsid w:val="009A25EE"/>
    <w:pPr>
      <w:spacing w:after="0" w:line="240" w:lineRule="auto"/>
    </w:pPr>
    <w:rPr>
      <w:color w:themeColor="accent3" w:themeShade="BF" w:val="070B45"/>
    </w:rPr>
    <w:tblPr>
      <w:tblStyleRowBandSize w:val="1"/>
      <w:tblStyleColBandSize w:val="1"/>
      <w:tblBorders>
        <w:top w:color="2230E7" w:space="0" w:sz="4" w:themeColor="accent3" w:themeTint="99" w:val="single"/>
        <w:left w:color="2230E7" w:space="0" w:sz="4" w:themeColor="accent3" w:themeTint="99" w:val="single"/>
        <w:bottom w:color="2230E7" w:space="0" w:sz="4" w:themeColor="accent3" w:themeTint="99" w:val="single"/>
        <w:right w:color="2230E7" w:space="0" w:sz="4" w:themeColor="accent3" w:themeTint="99" w:val="single"/>
        <w:insideH w:color="2230E7" w:space="0" w:sz="4" w:themeColor="accent3" w:themeTint="99" w:val="single"/>
        <w:insideV w:color="2230E7" w:space="0" w:sz="4" w:themeColor="accent3"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B5B9F7" w:themeFill="accent3" w:themeFillTint="33" w:val="clear"/>
      </w:tcPr>
    </w:tblStylePr>
    <w:tblStylePr w:type="band1Horz">
      <w:tblPr/>
      <w:tcPr>
        <w:shd w:color="auto" w:fill="B5B9F7" w:themeFill="accent3" w:themeFillTint="33" w:val="clear"/>
      </w:tcPr>
    </w:tblStylePr>
    <w:tblStylePr w:type="neCell">
      <w:tblPr/>
      <w:tcPr>
        <w:tcBorders>
          <w:bottom w:color="2230E7" w:space="0" w:sz="4" w:themeColor="accent3" w:themeTint="99" w:val="single"/>
        </w:tcBorders>
      </w:tcPr>
    </w:tblStylePr>
    <w:tblStylePr w:type="nwCell">
      <w:tblPr/>
      <w:tcPr>
        <w:tcBorders>
          <w:bottom w:color="2230E7" w:space="0" w:sz="4" w:themeColor="accent3" w:themeTint="99" w:val="single"/>
        </w:tcBorders>
      </w:tcPr>
    </w:tblStylePr>
    <w:tblStylePr w:type="seCell">
      <w:tblPr/>
      <w:tcPr>
        <w:tcBorders>
          <w:top w:color="2230E7" w:space="0" w:sz="4" w:themeColor="accent3" w:themeTint="99" w:val="single"/>
        </w:tcBorders>
      </w:tcPr>
    </w:tblStylePr>
    <w:tblStylePr w:type="swCell">
      <w:tblPr/>
      <w:tcPr>
        <w:tcBorders>
          <w:top w:color="2230E7" w:space="0" w:sz="4" w:themeColor="accent3" w:themeTint="99" w:val="single"/>
        </w:tcBorders>
      </w:tcPr>
    </w:tblStylePr>
  </w:style>
  <w:style w:styleId="GridTable5Dark-Accent5" w:type="table">
    <w:name w:val="Grid Table 5 Dark Accent 5"/>
    <w:basedOn w:val="TableNormal"/>
    <w:uiPriority w:val="50"/>
    <w:rsid w:val="009A25EE"/>
    <w:pPr>
      <w:spacing w:after="0" w:line="240" w:lineRule="auto"/>
    </w:pPr>
    <w:rPr>
      <w:color w:themeColor="background1" w:val="FFFFFF"/>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CCCCCC" w:themeFill="accent5"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00000" w:themeFill="accent5"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00000" w:themeFill="accent5"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00000" w:themeFill="accent5"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00000" w:themeFill="accent5" w:val="clear"/>
      </w:tcPr>
    </w:tblStylePr>
    <w:tblStylePr w:type="band1Vert">
      <w:tblPr/>
      <w:tcPr>
        <w:shd w:color="auto" w:fill="999999" w:themeFill="accent5" w:themeFillTint="66" w:val="clear"/>
      </w:tcPr>
    </w:tblStylePr>
    <w:tblStylePr w:type="band1Horz">
      <w:tblPr/>
      <w:tcPr>
        <w:shd w:color="auto" w:fill="999999" w:themeFill="accent5" w:themeFillTint="66" w:val="clear"/>
      </w:tcPr>
    </w:tblStylePr>
  </w:style>
  <w:style w:customStyle="1" w:styleId="AnnexH1EDPB" w:type="paragraph">
    <w:name w:val="Annex H1 EDPB"/>
    <w:basedOn w:val="Heading1"/>
    <w:link w:val="AnnexH1EDPBChar"/>
    <w:uiPriority w:val="2"/>
    <w:qFormat/>
    <w:rsid w:val="00002024"/>
    <w:pPr>
      <w:numPr>
        <w:numId w:val="6"/>
      </w:numPr>
    </w:pPr>
  </w:style>
  <w:style w:styleId="GridTable1Light-Accent4" w:type="table">
    <w:name w:val="Grid Table 1 Light Accent 4"/>
    <w:basedOn w:val="TableNormal"/>
    <w:uiPriority w:val="46"/>
    <w:rsid w:val="00E80001"/>
    <w:pPr>
      <w:spacing w:after="0" w:line="240" w:lineRule="auto"/>
    </w:pPr>
    <w:tblPr>
      <w:tblStyleRowBandSize w:val="1"/>
      <w:tblStyleColBandSize w:val="1"/>
      <w:tblBorders>
        <w:top w:color="BEE6FB" w:space="0" w:sz="4" w:themeColor="accent4" w:themeTint="66" w:val="single"/>
        <w:left w:color="BEE6FB" w:space="0" w:sz="4" w:themeColor="accent4" w:themeTint="66" w:val="single"/>
        <w:bottom w:color="BEE6FB" w:space="0" w:sz="4" w:themeColor="accent4" w:themeTint="66" w:val="single"/>
        <w:right w:color="BEE6FB" w:space="0" w:sz="4" w:themeColor="accent4" w:themeTint="66" w:val="single"/>
        <w:insideH w:color="BEE6FB" w:space="0" w:sz="4" w:themeColor="accent4" w:themeTint="66" w:val="single"/>
        <w:insideV w:color="BEE6FB" w:space="0" w:sz="4" w:themeColor="accent4" w:themeTint="66" w:val="single"/>
      </w:tblBorders>
    </w:tblPr>
    <w:tblStylePr w:type="firstRow">
      <w:rPr>
        <w:b/>
        <w:bCs/>
      </w:rPr>
      <w:tblPr/>
      <w:tcPr>
        <w:tcBorders>
          <w:bottom w:color="9EDAFA" w:space="0" w:sz="12" w:themeColor="accent4" w:themeTint="99" w:val="single"/>
        </w:tcBorders>
      </w:tcPr>
    </w:tblStylePr>
    <w:tblStylePr w:type="lastRow">
      <w:rPr>
        <w:b/>
        <w:bCs/>
      </w:rPr>
      <w:tblPr/>
      <w:tcPr>
        <w:tcBorders>
          <w:top w:color="9EDAFA" w:space="0" w:sz="2" w:themeColor="accent4" w:themeTint="99" w:val="double"/>
        </w:tcBorders>
      </w:tcPr>
    </w:tblStylePr>
    <w:tblStylePr w:type="firstCol">
      <w:rPr>
        <w:b/>
        <w:bCs/>
      </w:rPr>
    </w:tblStylePr>
    <w:tblStylePr w:type="lastCol">
      <w:rPr>
        <w:b/>
        <w:bCs/>
      </w:rPr>
    </w:tblStylePr>
  </w:style>
  <w:style w:customStyle="1" w:styleId="AnnexH1EDPBChar" w:type="character">
    <w:name w:val="Annex H1 EDPB Char"/>
    <w:basedOn w:val="Heading1Char"/>
    <w:link w:val="AnnexH1EDPB"/>
    <w:uiPriority w:val="2"/>
    <w:rsid w:val="00002024"/>
    <w:rPr>
      <w:rFonts w:asciiTheme="majorHAnsi" w:cstheme="majorBidi" w:eastAsiaTheme="majorEastAsia" w:hAnsiTheme="majorHAnsi"/>
      <w:b/>
      <w:color w:themeColor="accent1" w:val="0A105D"/>
      <w:spacing w:val="10"/>
      <w:sz w:val="32"/>
      <w:szCs w:val="64"/>
    </w:rPr>
  </w:style>
  <w:style w:styleId="GridTable1Light" w:type="table">
    <w:name w:val="Grid Table 1 Light"/>
    <w:basedOn w:val="TableNormal"/>
    <w:uiPriority w:val="46"/>
    <w:rsid w:val="00E80001"/>
    <w:pPr>
      <w:spacing w:after="0" w:line="240" w:lineRule="auto"/>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customStyle="1" w:styleId="EDPBtable2" w:type="table">
    <w:name w:val="EDPB table 2"/>
    <w:basedOn w:val="TableNormal"/>
    <w:uiPriority w:val="99"/>
    <w:rsid w:val="00E80001"/>
    <w:pPr>
      <w:spacing w:after="0" w:line="240" w:lineRule="auto"/>
    </w:pPr>
    <w:tblPr/>
  </w:style>
  <w:style w:customStyle="1" w:styleId="EDPBH6tabletitle" w:type="paragraph">
    <w:name w:val="EDPB H6 table title"/>
    <w:basedOn w:val="Heading5"/>
    <w:uiPriority w:val="2"/>
    <w:rsid w:val="008C11D8"/>
  </w:style>
  <w:style w:customStyle="1" w:styleId="EDPBstyle1" w:type="table">
    <w:name w:val="EDPB style 1"/>
    <w:basedOn w:val="TableNormal"/>
    <w:uiPriority w:val="99"/>
    <w:rsid w:val="002E0587"/>
    <w:pPr>
      <w:spacing w:after="0" w:line="240" w:lineRule="auto"/>
    </w:pPr>
    <w:rPr>
      <w:sz w:val="22"/>
    </w:rPr>
    <w:tblPr/>
    <w:tcPr>
      <w:vAlign w:val="center"/>
    </w:tcPr>
    <w:tblStylePr w:type="firstRow">
      <w:pPr>
        <w:jc w:val="left"/>
      </w:pPr>
      <w:rPr>
        <w:rFonts w:ascii="Glory" w:hAnsi="Glory"/>
        <w:b/>
        <w:sz w:val="28"/>
      </w:rPr>
      <w:tblPr/>
      <w:tcPr>
        <w:tcBorders>
          <w:top w:val="nil"/>
          <w:left w:val="nil"/>
          <w:bottom w:color="08149C" w:space="0" w:sz="12" w:themeColor="accent2" w:val="single"/>
          <w:right w:val="nil"/>
          <w:insideH w:val="nil"/>
          <w:insideV w:val="nil"/>
        </w:tcBorders>
        <w:vAlign w:val="center"/>
      </w:tcPr>
    </w:tblStylePr>
  </w:style>
  <w:style w:styleId="CommentSubject" w:type="paragraph">
    <w:name w:val="annotation subject"/>
    <w:basedOn w:val="CommentText"/>
    <w:next w:val="CommentText"/>
    <w:link w:val="CommentSubjectChar"/>
    <w:uiPriority w:val="99"/>
    <w:rsid w:val="00791A24"/>
    <w:pPr>
      <w:spacing w:after="120" w:before="120"/>
      <w:jc w:val="both"/>
    </w:pPr>
    <w:rPr>
      <w:rFonts w:cs="Calibri"/>
      <w:b/>
      <w:bCs/>
      <w:color w:themeColor="text1" w:val="000000"/>
    </w:rPr>
  </w:style>
  <w:style w:customStyle="1" w:styleId="CommentSubjectChar" w:type="character">
    <w:name w:val="Comment Subject Char"/>
    <w:basedOn w:val="CommentTextChar"/>
    <w:link w:val="CommentSubject"/>
    <w:uiPriority w:val="99"/>
    <w:rsid w:val="00791A24"/>
    <w:rPr>
      <w:rFonts w:ascii="Glory" w:cs="Calibri" w:eastAsia="Times New Roman" w:hAnsi="Glory"/>
      <w:b/>
      <w:bCs/>
      <w:color w:themeColor="text1" w:val="000000"/>
      <w:sz w:val="20"/>
      <w:szCs w:val="20"/>
    </w:rPr>
  </w:style>
  <w:style w:customStyle="1" w:styleId="Grilledutableau1" w:type="table">
    <w:name w:val="Grille du tableau1"/>
    <w:basedOn w:val="TableNormal"/>
    <w:next w:val="TableGrid"/>
    <w:uiPriority w:val="59"/>
    <w:rsid w:val="009B0283"/>
    <w:pPr>
      <w:spacing w:after="0" w:line="240" w:lineRule="auto"/>
    </w:pPr>
    <w:rPr>
      <w:rFonts w:ascii="Verdana" w:eastAsiaTheme="minorHAnsi" w:hAnsi="Verdana"/>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fontstyle01" w:type="character">
    <w:name w:val="fontstyle01"/>
    <w:basedOn w:val="DefaultParagraphFont"/>
    <w:rsid w:val="009B0283"/>
    <w:rPr>
      <w:rFonts w:ascii="Times New Roman" w:cs="Times New Roman" w:hAnsi="Times New Roman" w:hint="default"/>
      <w:b w:val="0"/>
      <w:bCs w:val="0"/>
      <w:i w:val="0"/>
      <w:iCs w:val="0"/>
      <w:color w:val="000000"/>
      <w:sz w:val="24"/>
      <w:szCs w:val="24"/>
    </w:rPr>
  </w:style>
  <w:style w:styleId="FollowedHyperlink" w:type="character">
    <w:name w:val="FollowedHyperlink"/>
    <w:basedOn w:val="DefaultParagraphFont"/>
    <w:uiPriority w:val="99"/>
    <w:unhideWhenUsed/>
    <w:rsid w:val="009B0283"/>
    <w:rPr>
      <w:color w:themeColor="followedHyperlink" w:val="5EC2F7"/>
      <w:u w:val="single"/>
    </w:rPr>
  </w:style>
  <w:style w:styleId="Revision" w:type="paragraph">
    <w:name w:val="Revision"/>
    <w:hidden/>
    <w:uiPriority w:val="99"/>
    <w:semiHidden/>
    <w:rsid w:val="009B0283"/>
    <w:pPr>
      <w:spacing w:after="0" w:line="240" w:lineRule="auto"/>
    </w:pPr>
    <w:rPr>
      <w:rFonts w:eastAsiaTheme="minorHAnsi"/>
      <w:sz w:val="22"/>
      <w:szCs w:val="22"/>
      <w:lang w:val="fr-FR"/>
    </w:rPr>
  </w:style>
  <w:style w:styleId="EndnoteText" w:type="paragraph">
    <w:name w:val="endnote text"/>
    <w:basedOn w:val="Normal"/>
    <w:link w:val="EndnoteTextChar"/>
    <w:uiPriority w:val="99"/>
    <w:unhideWhenUsed/>
    <w:rsid w:val="009B0283"/>
    <w:pPr>
      <w:spacing w:after="0" w:before="0" w:line="240" w:lineRule="auto"/>
      <w:jc w:val="left"/>
    </w:pPr>
    <w:rPr>
      <w:rFonts w:asciiTheme="minorHAnsi" w:cstheme="minorBidi" w:eastAsiaTheme="minorHAnsi" w:hAnsiTheme="minorHAnsi"/>
      <w:color w:val="auto"/>
      <w:sz w:val="20"/>
      <w:szCs w:val="20"/>
    </w:rPr>
  </w:style>
  <w:style w:customStyle="1" w:styleId="EndnoteTextChar" w:type="character">
    <w:name w:val="Endnote Text Char"/>
    <w:basedOn w:val="DefaultParagraphFont"/>
    <w:link w:val="EndnoteText"/>
    <w:uiPriority w:val="99"/>
    <w:rsid w:val="009B0283"/>
    <w:rPr>
      <w:rFonts w:eastAsiaTheme="minorHAnsi"/>
      <w:sz w:val="20"/>
      <w:szCs w:val="20"/>
    </w:rPr>
  </w:style>
  <w:style w:styleId="EndnoteReference" w:type="character">
    <w:name w:val="endnote reference"/>
    <w:basedOn w:val="DefaultParagraphFont"/>
    <w:uiPriority w:val="99"/>
    <w:unhideWhenUsed/>
    <w:rsid w:val="009B0283"/>
    <w:rPr>
      <w:vertAlign w:val="superscript"/>
    </w:rPr>
  </w:style>
  <w:style w:customStyle="1" w:styleId="ind" w:type="character">
    <w:name w:val="ind"/>
    <w:basedOn w:val="DefaultParagraphFont"/>
    <w:rsid w:val="009B0283"/>
  </w:style>
  <w:style w:customStyle="1" w:styleId="PreambuleTheEDPB" w:type="paragraph">
    <w:name w:val="Preambule The EDPB ..."/>
    <w:basedOn w:val="Normal"/>
    <w:next w:val="Normal"/>
    <w:qFormat/>
    <w:rsid w:val="009B0283"/>
    <w:pPr>
      <w:spacing w:after="480" w:before="0"/>
    </w:pPr>
    <w:rPr>
      <w:rFonts w:asciiTheme="minorHAnsi" w:cstheme="minorBidi" w:eastAsiaTheme="minorHAnsi" w:hAnsiTheme="minorHAnsi"/>
      <w:b/>
      <w:color w:val="auto"/>
      <w:sz w:val="28"/>
      <w:szCs w:val="28"/>
    </w:rPr>
  </w:style>
  <w:style w:customStyle="1" w:styleId="Preambulehasadopted" w:type="paragraph">
    <w:name w:val="Preambule 'has adopted'"/>
    <w:basedOn w:val="Normal"/>
    <w:next w:val="Normal"/>
    <w:qFormat/>
    <w:rsid w:val="009B0283"/>
    <w:pPr>
      <w:spacing w:after="480" w:before="480"/>
    </w:pPr>
    <w:rPr>
      <w:rFonts w:asciiTheme="minorHAnsi" w:cstheme="minorBidi" w:eastAsiaTheme="minorHAnsi" w:hAnsiTheme="minorHAnsi"/>
      <w:b/>
      <w:caps/>
      <w:color w:val="auto"/>
      <w:sz w:val="24"/>
    </w:rPr>
  </w:style>
  <w:style w:customStyle="1" w:styleId="Annexheading1" w:type="paragraph">
    <w:name w:val="Annex heading 1"/>
    <w:basedOn w:val="Heading1"/>
    <w:link w:val="Annexheading1Char"/>
    <w:qFormat/>
    <w:rsid w:val="009B0283"/>
    <w:pPr>
      <w:keepNext/>
      <w:keepLines/>
      <w:numPr>
        <w:numId w:val="0"/>
      </w:numPr>
      <w:spacing w:after="240" w:line="259" w:lineRule="auto"/>
    </w:pPr>
    <w:rPr>
      <w:b w:val="0"/>
      <w:caps/>
      <w:color w:themeColor="accent1" w:themeShade="BF" w:val="070B45"/>
      <w:szCs w:val="32"/>
    </w:rPr>
  </w:style>
  <w:style w:customStyle="1" w:styleId="Annexheading1Char" w:type="character">
    <w:name w:val="Annex heading 1 Char"/>
    <w:basedOn w:val="Heading1Char"/>
    <w:link w:val="Annexheading1"/>
    <w:rsid w:val="009B0283"/>
    <w:rPr>
      <w:rFonts w:asciiTheme="majorHAnsi" w:cstheme="majorBidi" w:eastAsiaTheme="majorEastAsia" w:hAnsiTheme="majorHAnsi"/>
      <w:b w:val="0"/>
      <w:caps/>
      <w:color w:themeColor="accent1" w:themeShade="BF" w:val="070B45"/>
      <w:spacing w:val="10"/>
      <w:sz w:val="32"/>
      <w:szCs w:val="32"/>
    </w:rPr>
  </w:style>
  <w:style w:customStyle="1" w:styleId="TableGrid1" w:type="table">
    <w:name w:val="Table Grid1"/>
    <w:basedOn w:val="TableNormal"/>
    <w:next w:val="TableGrid"/>
    <w:uiPriority w:val="59"/>
    <w:rsid w:val="009B0283"/>
    <w:pPr>
      <w:spacing w:after="0" w:line="240" w:lineRule="auto"/>
    </w:pPr>
    <w:rPr>
      <w:rFonts w:ascii="Verdana" w:eastAsiaTheme="minorHAnsi" w:hAnsi="Verdana"/>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Annexheading2" w:type="paragraph">
    <w:name w:val="Annex heading 2"/>
    <w:basedOn w:val="Heading2"/>
    <w:next w:val="Normal"/>
    <w:qFormat/>
    <w:rsid w:val="009B0283"/>
    <w:pPr>
      <w:numPr>
        <w:ilvl w:val="0"/>
        <w:numId w:val="0"/>
      </w:numPr>
      <w:spacing w:after="240" w:before="240" w:line="259" w:lineRule="auto"/>
    </w:pPr>
    <w:rPr>
      <w:b w:val="0"/>
      <w:color w:themeColor="accent1" w:themeShade="BF" w:val="070B45"/>
      <w:spacing w:val="0"/>
      <w:sz w:val="26"/>
      <w:szCs w:val="26"/>
    </w:rPr>
  </w:style>
  <w:style w:customStyle="1" w:styleId="UnnumberedEDPBParagraph" w:type="paragraph">
    <w:name w:val="Unnumbered EDPB Paragraph"/>
    <w:basedOn w:val="Normal"/>
    <w:qFormat/>
    <w:rsid w:val="009B0283"/>
    <w:pPr>
      <w:tabs>
        <w:tab w:pos="0" w:val="left"/>
      </w:tabs>
      <w:spacing w:after="160" w:before="0"/>
    </w:pPr>
    <w:rPr>
      <w:rFonts w:asciiTheme="minorHAnsi" w:cstheme="minorBidi" w:eastAsiaTheme="minorHAnsi" w:hAnsiTheme="minorHAnsi"/>
      <w:color w:val="auto"/>
      <w:szCs w:val="22"/>
    </w:rPr>
  </w:style>
  <w:style w:customStyle="1" w:styleId="EditorialNotesEDPB" w:type="paragraph">
    <w:name w:val="EditorialNotesEDPB"/>
    <w:basedOn w:val="Normal"/>
    <w:qFormat/>
    <w:rsid w:val="009B0283"/>
    <w:pPr>
      <w:spacing w:after="160" w:before="0"/>
      <w:jc w:val="left"/>
    </w:pPr>
    <w:rPr>
      <w:rFonts w:asciiTheme="minorHAnsi" w:cstheme="minorBidi" w:eastAsiaTheme="minorEastAsia" w:hAnsiTheme="minorHAnsi"/>
      <w:i/>
      <w:noProof/>
      <w:color w:themeColor="accent2" w:val="08149C"/>
      <w:szCs w:val="22"/>
      <w:lang w:eastAsia="nl-NL"/>
    </w:rPr>
  </w:style>
  <w:style w:customStyle="1" w:styleId="Default" w:type="paragraph">
    <w:name w:val="Default"/>
    <w:rsid w:val="009B0283"/>
    <w:pPr>
      <w:autoSpaceDE w:val="0"/>
      <w:autoSpaceDN w:val="0"/>
      <w:adjustRightInd w:val="0"/>
      <w:spacing w:after="0" w:line="240" w:lineRule="auto"/>
    </w:pPr>
    <w:rPr>
      <w:rFonts w:ascii="Calibri" w:cs="Calibri" w:eastAsiaTheme="minorHAnsi" w:hAnsi="Calibri"/>
      <w:color w:val="000000"/>
      <w:sz w:val="24"/>
      <w:szCs w:val="24"/>
    </w:rPr>
  </w:style>
  <w:style w:customStyle="1" w:styleId="EDBPtextinatable" w:type="paragraph">
    <w:name w:val="EDBP text in a table"/>
    <w:basedOn w:val="Normal"/>
    <w:link w:val="EDBPtextinatableChar"/>
    <w:qFormat/>
    <w:rsid w:val="009B0283"/>
    <w:pPr>
      <w:spacing w:after="0" w:before="0" w:line="276" w:lineRule="auto"/>
    </w:pPr>
    <w:rPr>
      <w:rFonts w:ascii="Calibri" w:cstheme="minorHAnsi" w:eastAsiaTheme="minorHAnsi" w:hAnsi="Calibri"/>
      <w:color w:val="auto"/>
      <w:szCs w:val="22"/>
    </w:rPr>
  </w:style>
  <w:style w:customStyle="1" w:styleId="EDBPtextinatableChar" w:type="character">
    <w:name w:val="EDBP text in a table Char"/>
    <w:basedOn w:val="DefaultParagraphFont"/>
    <w:link w:val="EDBPtextinatable"/>
    <w:rsid w:val="009B0283"/>
    <w:rPr>
      <w:rFonts w:ascii="Calibri" w:cstheme="minorHAnsi" w:eastAsiaTheme="minorHAnsi" w:hAnsi="Calibri"/>
      <w:sz w:val="22"/>
      <w:szCs w:val="22"/>
    </w:rPr>
  </w:style>
  <w:style w:customStyle="1" w:styleId="EditorialHeadingsEDPB" w:type="paragraph">
    <w:name w:val="Editorial Headings EDPB"/>
    <w:basedOn w:val="Normal"/>
    <w:next w:val="Normal"/>
    <w:qFormat/>
    <w:rsid w:val="009B0283"/>
    <w:pPr>
      <w:spacing w:after="160" w:before="0"/>
      <w:jc w:val="left"/>
    </w:pPr>
    <w:rPr>
      <w:rFonts w:asciiTheme="majorHAnsi" w:cstheme="majorHAnsi" w:eastAsiaTheme="minorHAnsi" w:hAnsiTheme="majorHAnsi"/>
      <w:b/>
      <w:color w:themeColor="accent1" w:themeShade="BF" w:val="070B45"/>
      <w:sz w:val="28"/>
      <w:szCs w:val="28"/>
    </w:rPr>
  </w:style>
  <w:style w:styleId="UnresolvedMention" w:type="character">
    <w:name w:val="Unresolved Mention"/>
    <w:basedOn w:val="DefaultParagraphFont"/>
    <w:uiPriority w:val="99"/>
    <w:semiHidden/>
    <w:unhideWhenUsed/>
    <w:rsid w:val="009B0283"/>
    <w:rPr>
      <w:color w:val="605E5C"/>
      <w:shd w:color="auto" w:fill="E1DFDD" w:val="clear"/>
    </w:rPr>
  </w:style>
  <w:style w:customStyle="1" w:styleId="my-2" w:type="paragraph">
    <w:name w:val="my-2"/>
    <w:basedOn w:val="Normal"/>
    <w:rsid w:val="009B0283"/>
    <w:pPr>
      <w:spacing w:after="100" w:afterAutospacing="1" w:before="100" w:beforeAutospacing="1" w:line="240" w:lineRule="auto"/>
      <w:jc w:val="left"/>
    </w:pPr>
    <w:rPr>
      <w:rFonts w:ascii="Times New Roman" w:cs="Times New Roman" w:hAnsi="Times New Roman"/>
      <w:color w:val="auto"/>
      <w:sz w:val="24"/>
      <w:lang w:eastAsia="es-ES" w:val="es-ES"/>
    </w:rPr>
  </w:style>
  <w:style w:styleId="TableGridLight" w:type="table">
    <w:name w:val="Grid Table Light"/>
    <w:basedOn w:val="TableNormal"/>
    <w:uiPriority w:val="40"/>
    <w:rsid w:val="009B0283"/>
    <w:pPr>
      <w:spacing w:after="0" w:line="240" w:lineRule="auto"/>
    </w:pPr>
    <w:tblPr>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7" Target="numbering.xml" /><Relationship Type="http://schemas.openxmlformats.org/officeDocument/2006/relationships/styles" Id="rId16" Target="styles.xml" /><Relationship Type="http://schemas.openxmlformats.org/officeDocument/2006/relationships/settings" Id="rId15" Target="settings.xml" /><Relationship Type="http://schemas.openxmlformats.org/officeDocument/2006/relationships/webSettings" Id="rId14" Target="webSettings.xml" /><Relationship Type="http://schemas.openxmlformats.org/officeDocument/2006/relationships/fontTable" Id="rId13" Target="fontTable.xml" /><Relationship Type="http://schemas.openxmlformats.org/officeDocument/2006/relationships/theme" Id="rId12" Target="theme/theme1.xml" /><Relationship Type="http://schemas.openxmlformats.org/officeDocument/2006/relationships/footnotes" Id="rId11" Target="footnotes.xml" /><Relationship Type="http://schemas.openxmlformats.org/officeDocument/2006/relationships/comments" Id="rId10" Target="comments.xml" /><Relationship Id="rId8" Target="footer1.xml" Type="http://schemas.openxmlformats.org/officeDocument/2006/relationships/footer" /><Relationship Id="rId9" Target="header1.xml" Type="http://schemas.openxmlformats.org/officeDocument/2006/relationships/header" /></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notes.xml.rels><?xml version="1.0" encoding="UTF-8"?><Relationships xmlns="http://schemas.openxmlformats.org/package/2006/relationships" />
</file>

<file path=word/_rels/header1.xml.rels><?xml version="1.0" encoding="UTF-8" standalone="yes"?><Relationships xmlns="http://schemas.openxmlformats.org/package/2006/relationships"/>
</file>

<file path=word/theme/theme1.xml><?xml version="1.0" encoding="utf-8"?>
<a:theme xmlns:a="http://schemas.openxmlformats.org/drawingml/2006/main" name="Office Theme">
  <a:themeElements>
    <a:clrScheme name="EDPB Palette">
      <a:dk1>
        <a:srgbClr val="000000"/>
      </a:dk1>
      <a:lt1>
        <a:sysClr val="window" lastClr="FFFFFF"/>
      </a:lt1>
      <a:dk2>
        <a:srgbClr val="0A105D"/>
      </a:dk2>
      <a:lt2>
        <a:srgbClr val="E9ECEB"/>
      </a:lt2>
      <a:accent1>
        <a:srgbClr val="0A105D"/>
      </a:accent1>
      <a:accent2>
        <a:srgbClr val="08149C"/>
      </a:accent2>
      <a:accent3>
        <a:srgbClr val="0A105D"/>
      </a:accent3>
      <a:accent4>
        <a:srgbClr val="5EC2F7"/>
      </a:accent4>
      <a:accent5>
        <a:srgbClr val="000000"/>
      </a:accent5>
      <a:accent6>
        <a:srgbClr val="0A105D"/>
      </a:accent6>
      <a:hlink>
        <a:srgbClr val="08149C"/>
      </a:hlink>
      <a:folHlink>
        <a:srgbClr val="5EC2F7"/>
      </a:folHlink>
    </a:clrScheme>
    <a:fontScheme name="EDPB font">
      <a:majorFont>
        <a:latin typeface="Glory"/>
        <a:ea typeface=""/>
        <a:cs typeface=""/>
      </a:majorFont>
      <a:minorFont>
        <a:latin typeface="Glory"/>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4031</Words>
  <Characters>22981</Characters>
  <Application>Microsoft Office Word</Application>
  <DocSecurity>0</DocSecurity>
  <Lines>191</Lines>
  <Paragraphs>53</Paragraphs>
  <ScaleCrop>false</ScaleCrop>
  <Company/>
  <LinksUpToDate>false</LinksUpToDate>
  <CharactersWithSpaces>26959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2026-05-26T07:01:56Z</dcterms:created>
  <dcterms:modified xsi:type="dcterms:W3CDTF">2026-05-26T07:01:56Z</dcterms:modified>
</cp:coreProperties>
</file>

<file path=docProps/custom.xml><?xml version="1.0" encoding="utf-8"?>
<Properties xmlns="http://schemas.openxmlformats.org/officeDocument/2006/custom-properties" xmlns:vt="http://schemas.openxmlformats.org/officeDocument/2006/docPropsVTypes"/>
</file>