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Informant Stream and Anonymous Review</w:t>
      </w:r>
    </w:p>
    <w:p>
      <w:r>
        <w:pict>
          <v:rect style="width:0;height:1.5pt" o:hralign="center" o:hrstd="t" o:hr="t"/>
        </w:pict>
      </w:r>
    </w:p>
    <w:bookmarkStart w:id="20" w:name="overview-informant-stream"/>
    <w:p>
      <w:pPr>
        <w:pStyle w:val="Heading2"/>
      </w:pPr>
      <w:r>
        <w:t xml:space="preserve">OVERVIEW OF THE PROCESSING</w:t>
      </w:r>
    </w:p>
    <w:bookmarkStart w:id="18" w:name="controllers-informant-stream"/>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anonymous review, whistleblowing, informant, or reputation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shyware/sdk/web/clients/embodiments/restClient.js</w:t>
            </w:r>
            <w:r>
              <w:t xml:space="preserve">; anonymous review flows;</w:t>
            </w:r>
            <w:r>
              <w:t xml:space="preserve"> </w:t>
            </w:r>
            <w:r>
              <w:rPr>
                <w:rStyle w:val="VerbatimChar"/>
              </w:rPr>
              <w:t xml:space="preserve">patent/mainhub/dpia/evidence_index.md</w:t>
            </w:r>
          </w:p>
        </w:tc>
      </w:tr>
    </w:tbl>
    <w:bookmarkEnd w:id="18"/>
    <w:bookmarkStart w:id="19" w:name="name-informant-stream"/>
    <w:p>
      <w:pPr>
        <w:pStyle w:val="Heading3"/>
      </w:pPr>
      <w:r>
        <w:t xml:space="preserve">Name of the Processing</w:t>
      </w:r>
    </w:p>
    <w:p>
      <w:pPr>
        <w:pStyle w:val="FirstParagraph"/>
      </w:pPr>
      <w:r>
        <w:rPr>
          <w:b/>
          <w:bCs/>
        </w:rPr>
        <w:t xml:space="preserve">Internal name:</w:t>
      </w:r>
      <w:r>
        <w:t xml:space="preserve"> </w:t>
      </w:r>
      <w:r>
        <w:t xml:space="preserve">Shyware Informant Stream / Anonymous Review DPIA</w:t>
      </w:r>
    </w:p>
    <w:p>
      <w:r>
        <w:pict>
          <v:rect style="width:0;height:1.5pt" o:hralign="center" o:hrstd="t" o:hr="t"/>
        </w:pict>
      </w:r>
    </w:p>
    <w:bookmarkEnd w:id="19"/>
    <w:bookmarkEnd w:id="20"/>
    <w:bookmarkStart w:id="25" w:name="systematic-description-informant-stream"/>
    <w:p>
      <w:pPr>
        <w:numPr>
          <w:ilvl w:val="0"/>
          <w:numId w:val="1004"/>
        </w:numPr>
        <w:pStyle w:val="Heading2"/>
      </w:pPr>
      <w:r>
        <w:t xml:space="preserve">SYSTEMATIC DESCRIPTION OF THE PROCESSING</w:t>
      </w:r>
    </w:p>
    <w:bookmarkStart w:id="24" w:name="high-level-informant-stream"/>
    <w:p>
      <w:pPr>
        <w:numPr>
          <w:ilvl w:val="1"/>
          <w:numId w:val="1004"/>
        </w:numPr>
        <w:pStyle w:val="Heading3"/>
      </w:pPr>
      <w:r>
        <w:t xml:space="preserve">High-level Description of the Processing</w:t>
      </w:r>
    </w:p>
    <w:bookmarkStart w:id="21" w:name="processed-data-informant-stream"/>
    <w:p>
      <w:pPr>
        <w:numPr>
          <w:ilvl w:val="2"/>
          <w:numId w:val="1004"/>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463"/>
        <w:gridCol w:w="2902"/>
        <w:gridCol w:w="2246"/>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Anonymous report/review payload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Allegation, review, evidence, or narrative content</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Subject data</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Named individual, employer, platform user, or organization being reviewed</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Submitter eligibility/identity hash</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Scoped pseudonymous identity, proof, or anti-abuse token</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Moderation and abuse signals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Safety review, spam/fraud indicators, audit logs</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Medium</w:t>
            </w:r>
          </w:p>
        </w:tc>
      </w:tr>
    </w:tbl>
    <w:bookmarkEnd w:id="21"/>
    <w:bookmarkStart w:id="22" w:name="purposes-informant-stream"/>
    <w:p>
      <w:pPr>
        <w:numPr>
          <w:ilvl w:val="2"/>
          <w:numId w:val="1004"/>
        </w:numPr>
        <w:pStyle w:val="Heading4"/>
      </w:pPr>
      <w:r>
        <w:t xml:space="preserve">Purposes of the Processing</w:t>
      </w:r>
    </w:p>
    <w:p>
      <w:pPr>
        <w:pStyle w:val="FirstParagraph"/>
      </w:pPr>
      <w:r>
        <w:t xml:space="preserve">Enable anonymous or pseudonymous disclosure, review, reporting, moderation, abuse prevention, and limited auditability.</w:t>
      </w:r>
    </w:p>
    <w:bookmarkEnd w:id="22"/>
    <w:bookmarkStart w:id="23" w:name="nature-informant-stream"/>
    <w:p>
      <w:pPr>
        <w:numPr>
          <w:ilvl w:val="2"/>
          <w:numId w:val="1004"/>
        </w:numPr>
        <w:pStyle w:val="Heading4"/>
      </w:pPr>
      <w:r>
        <w:t xml:space="preserve">Nature, Scope and Context</w:t>
      </w:r>
    </w:p>
    <w:p>
      <w:pPr>
        <w:pStyle w:val="FirstParagraph"/>
      </w:pPr>
      <w:r>
        <w:t xml:space="preserve">This domain can involve allegations, workplace harms, retaliation risk, defamation risk, and safety-sensitive reports. Even when submitter identity is structurally separated, content itself may identify the submitter or third parties.</w:t>
      </w:r>
    </w:p>
    <w:bookmarkEnd w:id="23"/>
    <w:bookmarkEnd w:id="24"/>
    <w:bookmarkEnd w:id="25"/>
    <w:bookmarkStart w:id="29" w:name="analysis-informant-stream"/>
    <w:p>
      <w:pPr>
        <w:numPr>
          <w:ilvl w:val="0"/>
          <w:numId w:val="1004"/>
        </w:numPr>
        <w:pStyle w:val="Heading2"/>
      </w:pPr>
      <w:r>
        <w:t xml:space="preserve">ANALYSIS OF THE PROCESSING</w:t>
      </w:r>
    </w:p>
    <w:bookmarkStart w:id="26" w:name="lawfulness-informant-stream"/>
    <w:p>
      <w:pPr>
        <w:numPr>
          <w:ilvl w:val="1"/>
          <w:numId w:val="1004"/>
        </w:numPr>
        <w:pStyle w:val="Heading3"/>
      </w:pPr>
      <w:r>
        <w:t xml:space="preserve">Lawfulness and Minimisation</w:t>
      </w:r>
    </w:p>
    <w:p>
      <w:pPr>
        <w:pStyle w:val="FirstParagraph"/>
      </w:pPr>
      <w:r>
        <w:t xml:space="preserve">Customer controllers must define lawful basis, notice, moderation duties, and redress process for report subjects. Payload schemas should discourage unnecessary names, sensitive data, and unsupported allegations unless the use case requires them.</w:t>
      </w:r>
    </w:p>
    <w:bookmarkEnd w:id="26"/>
    <w:bookmarkStart w:id="28" w:name="patent-alignment-informant-stream"/>
    <w:p>
      <w:pPr>
        <w:numPr>
          <w:ilvl w:val="1"/>
          <w:numId w:val="1004"/>
        </w:numPr>
        <w:pStyle w:val="Heading3"/>
      </w:pPr>
      <w:r>
        <w:t xml:space="preserve">Mainhub Patent Alignment</w:t>
      </w:r>
    </w:p>
    <w:p>
      <w:pPr>
        <w:pStyle w:val="FirstParagraph"/>
      </w:pPr>
      <w:r>
        <w:t xml:space="preserve">The Mainhub patent architecture can reduce canonical-state linkage between a submitter commitment and an anonymous report record. It does not prevent a report’s content, writing style, timing, attachments, moderation metadata, or investigation workflow from identifying the submitter or third parties. Retaliation, defamation, correction, and abuse risks remain domain risks outside the canonical-state guarantee.</w:t>
      </w:r>
    </w:p>
    <w:bookmarkStart w:id="27" w:name="authority-partition-informant-stream"/>
    <w:p>
      <w:pPr>
        <w:numPr>
          <w:ilvl w:val="2"/>
          <w:numId w:val="1004"/>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3276"/>
        <w:gridCol w:w="4306"/>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IDV/KYC stage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user identity on authenticated users</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Review authority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domain eligibility; registered independently at scoping-identifier creation</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w:t>
      </w:r>
      <w:r>
        <w:t xml:space="preserve"> </w:t>
      </w:r>
      <w:r>
        <w:rPr>
          <w:b/>
          <w:bCs/>
          <w:i/>
          <w:iCs/>
        </w:rPr>
        <w:t xml:space="preserve">VERIFIED (run 26421919030):</w:t>
      </w:r>
      <w:r>
        <w:rPr>
          <w:i/>
          <w:iCs/>
        </w:rPr>
        <w:t xml:space="preserve"> </w:t>
      </w:r>
      <w:r>
        <w:rPr>
          <w:i/>
          <w:iCs/>
        </w:rPr>
        <w:t xml:space="preserve">DUAL_COSIG section passes 385/385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w:t>
      </w:r>
    </w:p>
    <w:bookmarkEnd w:id="27"/>
    <w:bookmarkEnd w:id="28"/>
    <w:bookmarkEnd w:id="29"/>
    <w:bookmarkStart w:id="30" w:name="necessity-informant-stream"/>
    <w:p>
      <w:pPr>
        <w:numPr>
          <w:ilvl w:val="0"/>
          <w:numId w:val="1004"/>
        </w:numPr>
        <w:pStyle w:val="Heading2"/>
      </w:pPr>
      <w:r>
        <w:t xml:space="preserve">CONSIDERATIONS ON NECESSITY AND PROPORTIONALITY</w:t>
      </w:r>
    </w:p>
    <w:p>
      <w:pPr>
        <w:pStyle w:val="FirstParagraph"/>
      </w:pPr>
      <w:r>
        <w:t xml:space="preserve">The informant stream pattern may be proportionate where anonymous or protected reporting is necessary to prevent retaliation or preserve public-interest reporting. It is not proportionate as a generic anonymous accusation tool without moderation, payload minimization, reporter protection, subject-rights handling, and legal review. Reveal or recovery should be disabled or dual-controlled unless a lawful process or safety policy requires it.</w:t>
      </w:r>
    </w:p>
    <w:bookmarkEnd w:id="30"/>
    <w:bookmarkStart w:id="34" w:name="risk-informant-stream"/>
    <w:p>
      <w:pPr>
        <w:numPr>
          <w:ilvl w:val="0"/>
          <w:numId w:val="1004"/>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650"/>
        <w:gridCol w:w="4867"/>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Retaliation or submitter deanonymization</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Define content redaction, metadata stripping, and access controls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Harm to report subject</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Define moderation, correction, dispute, and takedown process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Sensitive third-party data in payload</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Add payload guidance and restricted-data controls</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Abuse of anonymity</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Define rate limits, eligibility, and audit controls without general deanonymization</w:t>
            </w:r>
          </w:p>
        </w:tc>
      </w:tr>
    </w:tbl>
    <w:bookmarkStart w:id="32" w:name="dpia-audit-informant-stream"/>
    <w:p>
      <w:pPr>
        <w:numPr>
          <w:ilvl w:val="1"/>
          <w:numId w:val="1004"/>
        </w:numPr>
        <w:pStyle w:val="Heading3"/>
      </w:pPr>
      <w:r>
        <w:t xml:space="preserve">DPIA Audit Findings</w:t>
      </w:r>
    </w:p>
    <w:p>
      <w:pPr>
        <w:pStyle w:val="FirstParagraph"/>
      </w:pPr>
      <w:r>
        <w:t xml:space="preserve">This DPIA is the audit record for informant stream and anonymous review deployments. Before production, the DPIA must identify the provider partition across authentication or eligibility provider, moderation/review operator, protected linkage store, reconciling authority, canonical commit authority, and telemetry/support providers. Canonical-state unlinkability does not reduce risks from payload self-identification, retaliation, workplace or platform imbalance, defamation, lawful process, or moderator access. The software evidence for the core kernel may be complete while payload controls, reporter protection, moderation access, retention, and reveal policy still need to be fixed for this domain.</w:t>
      </w:r>
    </w:p>
    <w:bookmarkStart w:id="31" w:name="compliance-instructions-informant-stream"/>
    <w:p>
      <w:pPr>
        <w:numPr>
          <w:ilvl w:val="2"/>
          <w:numId w:val="1004"/>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1"/>
    <w:bookmarkEnd w:id="32"/>
    <w:bookmarkStart w:id="33" w:name="residual-risk-informant-stream"/>
    <w:p>
      <w:pPr>
        <w:numPr>
          <w:ilvl w:val="1"/>
          <w:numId w:val="1004"/>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report content, retaliation, moderation, subject-rights, legal, or customer-governance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27"/>
        <w:gridCol w:w="3370"/>
        <w:gridCol w:w="749"/>
        <w:gridCol w:w="749"/>
        <w:gridCol w:w="749"/>
        <w:gridCol w:w="1217"/>
      </w:tblGrid>
      <w:tr>
        <w:trPr>
          <w:tblHeader w:val="on"/>
        </w:trPr>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self-identification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Reporter guidance, payload minimization, redaction, and moderation review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12</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payload controls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Retaliation or workplace/platform harm</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Reporter protection policy, access limits, and escalation controls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controller protection model</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Moderator or operator access misuse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Least privilege, audit logs, dual-control reveal, and role partitioning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moderation access model</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Defamation or third-party harm</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Moderation workflow, takedown process, and legal review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content governance</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auth/eligibility, moderation, linkage, reconcile, commit, and telemetry roles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3"/>
    <w:bookmarkEnd w:id="34"/>
    <w:bookmarkStart w:id="35" w:name="interested-parties-informant-stream"/>
    <w:p>
      <w:pPr>
        <w:numPr>
          <w:ilvl w:val="0"/>
          <w:numId w:val="1004"/>
        </w:numPr>
        <w:pStyle w:val="Heading2"/>
      </w:pPr>
      <w:r>
        <w:t xml:space="preserve">INVOLVEMENT OF INTERESTED PARTIES</w:t>
      </w:r>
    </w:p>
    <w:p>
      <w:pPr>
        <w:pStyle w:val="FirstParagraph"/>
      </w:pPr>
      <w:r>
        <w:t xml:space="preserve">Privacy counsel, moderation/legal stakeholders, workplace or platform safety stakeholders where applicable, security, and customer DPO teams should review this DPIA before production. Representative consultation should be considered where employees, whistleblowers, vulnerable reporters, or accused third parties may be affected.</w:t>
      </w:r>
    </w:p>
    <w:bookmarkEnd w:id="35"/>
    <w:bookmarkStart w:id="36" w:name="conclusion-informant-stream"/>
    <w:p>
      <w:pPr>
        <w:numPr>
          <w:ilvl w:val="0"/>
          <w:numId w:val="1004"/>
        </w:numPr>
        <w:pStyle w:val="Heading2"/>
      </w:pPr>
      <w:r>
        <w:t xml:space="preserve">CONCLUSION AND DECISION</w:t>
      </w:r>
    </w:p>
    <w:p>
      <w:pPr>
        <w:pStyle w:val="FirstParagraph"/>
      </w:pPr>
      <w:r>
        <w:rPr>
          <w:b/>
          <w:bCs/>
        </w:rPr>
        <w:t xml:space="preserve">Draft decision:</w:t>
      </w:r>
      <w:r>
        <w:t xml:space="preserve"> </w:t>
      </w:r>
      <w:r>
        <w:t xml:space="preserve">Separate DPIA required. Expand with moderation, redress, retaliation-risk, and content-governance controls.</w:t>
      </w:r>
    </w:p>
    <w:bookmarkEnd w:id="36"/>
    <w:bookmarkStart w:id="40" w:name="annexes-informant"/>
    <w:p>
      <w:pPr>
        <w:pStyle w:val="Heading1"/>
      </w:pPr>
      <w:r>
        <w:t xml:space="preserve">Regulatory and Deployment Context Annexes</w:t>
      </w:r>
    </w:p>
    <w:bookmarkStart w:id="37" w:name="annex-a-informant"/>
    <w:p>
      <w:pPr>
        <w:numPr>
          <w:ilvl w:val="0"/>
          <w:numId w:val="1004"/>
        </w:numPr>
        <w:pStyle w:val="Heading2"/>
      </w:pPr>
      <w:r>
        <w:t xml:space="preserve">Annex A — Deployment Context Variants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04"/>
        <w:gridCol w:w="2246"/>
        <w:gridCol w:w="2434"/>
        <w:gridCol w:w="3276"/>
      </w:tblGrid>
      <w:tr>
        <w:trPr>
          <w:tblHeader w:val="on"/>
        </w:trPr>
        <w:tc>
          <w:tcPr>
            <w:tcW w:type="pct" w:w="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Deployment context</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Elevated risk</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Regulatory trigger</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requirement</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Corporate whistleblower (EU)</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Retaliation against reporter; identity exposure to investigated party</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EU Whistleblower Protection Directive 2019/1937; national implementing laws</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Internal channel required for 50+ employee organisations; acknowledgement within 7 days; feedback within 3 months; no disclosure of reporter identity to investigated party</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US regulatory whistleblower</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exposure to employer; anti-retaliation protections vary by program</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SEC Rule 21F; CFTC Rule 165; False Claims Act 31 U.S.C. §3729; SOX §806; OSHA 29 C.F.R. §1980</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Submission must be capable of forwarding to SEC/CFTC without revealing reporter identity; counsel review of award-eligibility requirements before deployment</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Journalistic source protection</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State-level compelled disclosure; shield law variations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Shield laws vary by US state; EU Charter Art. 11 press freedom; ECHR Art. 10</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No logging of submission metadata beyond canonical two-list records; source protection policy documented; legal hold procedure for court orders</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HR / employment complaints</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Retaliation; false accusations; data about third parties (accused)</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GDPR Art. 9 if complaint involves health, union, religious data of accused; employment law</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Data about the accused is third-party personal data requiring separate legal basis; retention limited to investigation period; access control preventing HR enumeration</w:t>
            </w:r>
          </w:p>
        </w:tc>
      </w:tr>
    </w:tbl>
    <w:bookmarkEnd w:id="37"/>
    <w:bookmarkStart w:id="38" w:name="annex-b-informant"/>
    <w:p>
      <w:pPr>
        <w:numPr>
          <w:ilvl w:val="0"/>
          <w:numId w:val="1004"/>
        </w:numPr>
        <w:pStyle w:val="Heading2"/>
      </w:pPr>
      <w:r>
        <w:t xml:space="preserve">Annex B — EU Whistleblower Protection Directive (2019/1937)</w:t>
      </w:r>
    </w:p>
    <w:p>
      <w:pPr>
        <w:pStyle w:val="FirstParagraph"/>
      </w:pPr>
      <w:r>
        <w:t xml:space="preserve">Directive 2019/1937 requires organisations with 50 or more employees to establish internal reporting channels. The structural requirements that shyrest-v1 addresses:</w:t>
      </w:r>
    </w:p>
    <w:p>
      <w:pPr>
        <w:numPr>
          <w:ilvl w:val="0"/>
          <w:numId w:val="1002"/>
        </w:numPr>
      </w:pPr>
      <w:r>
        <w:rPr>
          <w:b/>
          <w:bCs/>
        </w:rPr>
        <w:t xml:space="preserve">Confidentiality of reporter identity:</w:t>
      </w:r>
      <w:r>
        <w:t xml:space="preserve"> </w:t>
      </w:r>
      <w:r>
        <w:t xml:space="preserve">The Directive requires that reporter identity is not disclosed to the investigated party or to persons other than authorised staff. shyrest-v1’s structural non-linkability means no canonical-state query returns the reporter’s identity alongside the submission content. The reconciling authority API is non-enumerable and per-participant identity-gated, satisfying the operational confidentiality requirement.</w:t>
      </w:r>
    </w:p>
    <w:p>
      <w:pPr>
        <w:numPr>
          <w:ilvl w:val="0"/>
          <w:numId w:val="1002"/>
        </w:numPr>
      </w:pPr>
      <w:r>
        <w:rPr>
          <w:b/>
          <w:bCs/>
        </w:rPr>
        <w:t xml:space="preserve">Acknowledgement and feedback:</w:t>
      </w:r>
      <w:r>
        <w:t xml:space="preserve"> </w:t>
      </w:r>
      <w:r>
        <w:t xml:space="preserve">The Directive requires acknowledgement within 7 days and feedback on action taken within 3 months. shyrest-v1 must be configured to support an authenticated response path to the reporter without revealing reporter identity to the responder (the shyrest reconcile interface supports per-reporter authenticated retrieval without exposing the reporter’s identity to other reporters or to the admin mailbox operator).</w:t>
      </w:r>
    </w:p>
    <w:p>
      <w:pPr>
        <w:numPr>
          <w:ilvl w:val="0"/>
          <w:numId w:val="1002"/>
        </w:numPr>
      </w:pPr>
      <w:r>
        <w:rPr>
          <w:b/>
          <w:bCs/>
        </w:rPr>
        <w:t xml:space="preserve">Prohibition on retaliation:</w:t>
      </w:r>
      <w:r>
        <w:t xml:space="preserve"> </w:t>
      </w:r>
      <w:r>
        <w:t xml:space="preserve">Structural anonymity reduces the practical ability of an employer to retaliate because submission-to-reporter linkage is not available from canonical state. The off-chain reconciling authority remains a residual risk; dual-control access policy is required.</w:t>
      </w:r>
    </w:p>
    <w:p>
      <w:pPr>
        <w:numPr>
          <w:ilvl w:val="0"/>
          <w:numId w:val="1002"/>
        </w:numPr>
      </w:pPr>
      <w:r>
        <w:rPr>
          <w:b/>
          <w:bCs/>
        </w:rPr>
        <w:t xml:space="preserve">National implementing laws:</w:t>
      </w:r>
      <w:r>
        <w:t xml:space="preserve"> </w:t>
      </w:r>
      <w:r>
        <w:t xml:space="preserve">All EU member states must have implemented by December 2023. Operators must confirm implementing legislation in each deployment jurisdiction (e.g., HinSchG Germany, loi Sapin II France, PIDA UK).</w:t>
      </w:r>
    </w:p>
    <w:bookmarkEnd w:id="38"/>
    <w:bookmarkStart w:id="39" w:name="annex-c-informant"/>
    <w:p>
      <w:pPr>
        <w:numPr>
          <w:ilvl w:val="0"/>
          <w:numId w:val="1004"/>
        </w:numPr>
        <w:pStyle w:val="Heading2"/>
      </w:pPr>
      <w:r>
        <w:t xml:space="preserve">Annex C — US Whistleblower Programs</w:t>
      </w:r>
    </w:p>
    <w:p>
      <w:pPr>
        <w:pStyle w:val="FirstParagraph"/>
      </w:pPr>
      <w:r>
        <w:t xml:space="preserve">US whistleblower programs impose specific requirements on how submissions are received and forwarded:</w:t>
      </w:r>
    </w:p>
    <w:p>
      <w:pPr>
        <w:numPr>
          <w:ilvl w:val="0"/>
          <w:numId w:val="1003"/>
        </w:numPr>
      </w:pPr>
      <w:r>
        <w:rPr>
          <w:b/>
          <w:bCs/>
        </w:rPr>
        <w:t xml:space="preserve">SEC Rule 21F (Dodd-Frank):</w:t>
      </w:r>
      <w:r>
        <w:t xml:space="preserve"> </w:t>
      </w:r>
      <w:r>
        <w:t xml:space="preserve">Reporter identity must be protectable; anonymous submissions permitted if represented by counsel. The shyrest reconciling authority must be capable of receiving an SEC subpoena without disclosing reporter identity from canonical state alone (structural guarantee holds; off-chain linkage requires separate legal process). Award eligibility requires the submission to be</w:t>
      </w:r>
      <w:r>
        <w:t xml:space="preserve"> </w:t>
      </w:r>
      <w:r>
        <w:t xml:space="preserve">“original information”</w:t>
      </w:r>
      <w:r>
        <w:t xml:space="preserve"> </w:t>
      </w:r>
      <w:r>
        <w:t xml:space="preserve">— the sealed canonical payload must be preservable as evidence without modification.</w:t>
      </w:r>
    </w:p>
    <w:p>
      <w:pPr>
        <w:numPr>
          <w:ilvl w:val="0"/>
          <w:numId w:val="1003"/>
        </w:numPr>
      </w:pPr>
      <w:r>
        <w:rPr>
          <w:b/>
          <w:bCs/>
        </w:rPr>
        <w:t xml:space="preserve">False Claims Act:</w:t>
      </w:r>
      <w:r>
        <w:t xml:space="preserve"> </w:t>
      </w:r>
      <w:r>
        <w:t xml:space="preserve">Qui tam actions require the relator’s identity to be disclosed to the government but not the defendant initially. shyrest’s sealed submission can be forwarded to the DOJ under confidential seal; reporter identity disclosed only per court order.</w:t>
      </w:r>
    </w:p>
    <w:p>
      <w:pPr>
        <w:numPr>
          <w:ilvl w:val="0"/>
          <w:numId w:val="1003"/>
        </w:numPr>
      </w:pPr>
      <w:r>
        <w:rPr>
          <w:b/>
          <w:bCs/>
        </w:rPr>
        <w:t xml:space="preserve">SOX §806 / OSHA:</w:t>
      </w:r>
      <w:r>
        <w:t xml:space="preserve"> </w:t>
      </w:r>
      <w:r>
        <w:t xml:space="preserve">Employer anti-retaliation protections apply from the date of submission. The canonical write timestamp (HSM-attested period-close) provides an independently verifiable submission-date record supporting retaliation claims.</w:t>
      </w:r>
    </w:p>
    <w:bookmarkEnd w:id="39"/>
    <w:bookmarkEnd w:id="40"/>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1"/>
  </w:num>
  <w:num w:numId="1004">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2026-05-26T07:01:56Z</dcterms:created>
  <dcterms:modified xsi:type="dcterms:W3CDTF">2026-05-26T07:01:56Z</dcterms:modified>
</cp:coreProperties>
</file>

<file path=docProps/custom.xml><?xml version="1.0" encoding="utf-8"?>
<Properties xmlns="http://schemas.openxmlformats.org/officeDocument/2006/custom-properties" xmlns:vt="http://schemas.openxmlformats.org/officeDocument/2006/docPropsVTypes"/>
</file>