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image1.png" ContentType="image/png"/>
  <Override PartName="/word/media/image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m="http://schemas.openxmlformats.org/officeDocument/2006/math" xmlns:o="urn:schemas-microsoft-com:office:office" xmlns:r="http://schemas.openxmlformats.org/officeDocument/2006/relationships" xmlns:v="urn:schemas-microsoft-com:vml" xmlns:w="http://schemas.openxmlformats.org/wordprocessingml/2006/main">
  <w:body>
    <w:p>
      <w:pPr>
        <w:pStyle w:val="FirstParagraph"/>
      </w:pPr>
      <w:r>
        <w:t xml:space="preserve">DPIA — Shyware Private Chat and Scytale Communications</w:t>
      </w:r>
    </w:p>
    <w:p>
      <w:r>
        <w:pict>
          <v:rect style="width:0;height:1.5pt" o:hralign="center" o:hrstd="t" o:hr="t"/>
        </w:pict>
      </w:r>
    </w:p>
    <w:bookmarkStart w:id="20" w:name="overview-scytale-chat"/>
    <w:p>
      <w:pPr>
        <w:pStyle w:val="Heading2"/>
      </w:pPr>
      <w:r>
        <w:t xml:space="preserve">OVERVIEW OF THE PROCESSING</w:t>
      </w:r>
    </w:p>
    <w:bookmarkStart w:id="18" w:name="controllers-scytale-chat"/>
    <w:p>
      <w:pPr>
        <w:pStyle w:val="Heading3"/>
      </w:pPr>
      <w:r>
        <w:t xml:space="preserve">Controller(s)</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2808"/>
        <w:gridCol w:w="6552"/>
      </w:tblGrid>
      <w:tr>
        <w:trPr>
          <w:tblHeader w:val="on"/>
        </w:trPr>
        <w:tc>
          <w:tcPr>
            <w:tcW w:type="pct" w:w="15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Field</w:t>
            </w:r>
          </w:p>
        </w:tc>
        <w:tc>
          <w:tcPr>
            <w:tcW w:type="pct" w:w="35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Value</w:t>
            </w:r>
          </w:p>
        </w:tc>
      </w:tr>
      <w:tr>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Controller</w:t>
            </w:r>
          </w:p>
        </w:tc>
        <w:tc>
          <w:tcPr>
            <w:tcW w:type="pct" w:w="3500"/>
            <w:tcBorders>
              <w:top w:val="single" w:sz="8" w:space="0" w:color="000000"/>
              <w:left w:val="single" w:sz="8" w:space="0" w:color="000000"/>
              <w:bottom w:val="single" w:sz="8" w:space="0" w:color="000000"/>
              <w:right w:val="single" w:sz="8" w:space="0" w:color="000000"/>
            </w:tcBorders>
          </w:tcPr>
          <w:p>
            <w:pPr>
              <w:pStyle w:val="Compact"/>
              <w:jc w:val="left"/>
            </w:pPr>
            <w:r>
              <w:t xml:space="preserve">Operator of private chat or customer communications deployment</w:t>
            </w:r>
          </w:p>
        </w:tc>
      </w:tr>
      <w:tr>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DPO or similar function</w:t>
            </w:r>
          </w:p>
        </w:tc>
        <w:tc>
          <w:tcPr>
            <w:tcW w:type="pct" w:w="3500"/>
            <w:tcBorders>
              <w:top w:val="single" w:sz="8" w:space="0" w:color="000000"/>
              <w:left w:val="single" w:sz="8" w:space="0" w:color="000000"/>
              <w:bottom w:val="single" w:sz="8" w:space="0" w:color="000000"/>
              <w:right w:val="single" w:sz="8" w:space="0" w:color="000000"/>
            </w:tcBorders>
          </w:tcPr>
          <w:p>
            <w:pPr>
              <w:pStyle w:val="Compact"/>
              <w:jc w:val="left"/>
            </w:pPr>
            <w:r>
              <w:t xml:space="preserve">Controller DPO or privacy contact</w:t>
            </w:r>
          </w:p>
        </w:tc>
      </w:tr>
      <w:tr>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Repository evidence</w:t>
            </w:r>
          </w:p>
        </w:tc>
        <w:tc>
          <w:tcPr>
            <w:tcW w:type="pct" w:w="3500"/>
            <w:tcBorders>
              <w:top w:val="single" w:sz="8" w:space="0" w:color="000000"/>
              <w:left w:val="single" w:sz="8" w:space="0" w:color="000000"/>
              <w:bottom w:val="single" w:sz="8" w:space="0" w:color="000000"/>
              <w:right w:val="single" w:sz="8" w:space="0" w:color="000000"/>
            </w:tcBorders>
          </w:tcPr>
          <w:p>
            <w:pPr>
              <w:pStyle w:val="Compact"/>
              <w:jc w:val="left"/>
            </w:pPr>
            <w:r>
              <w:rPr>
                <w:rStyle w:val="VerbatimChar"/>
              </w:rPr>
              <w:t xml:space="preserve">chatClient.js</w:t>
            </w:r>
            <w:r>
              <w:t xml:space="preserve">; runtime chat migration;</w:t>
            </w:r>
            <w:r>
              <w:t xml:space="preserve"> </w:t>
            </w:r>
            <w:r>
              <w:rPr>
                <w:rStyle w:val="VerbatimChar"/>
              </w:rPr>
              <w:t xml:space="preserve">patent/mainhub/dpia/evidence_index.md</w:t>
            </w:r>
          </w:p>
        </w:tc>
      </w:tr>
    </w:tbl>
    <w:bookmarkEnd w:id="18"/>
    <w:bookmarkStart w:id="19" w:name="name-scytale-chat"/>
    <w:p>
      <w:pPr>
        <w:pStyle w:val="Heading3"/>
      </w:pPr>
      <w:r>
        <w:t xml:space="preserve">Name of the Processing</w:t>
      </w:r>
    </w:p>
    <w:p>
      <w:pPr>
        <w:pStyle w:val="FirstParagraph"/>
      </w:pPr>
      <w:r>
        <w:rPr>
          <w:b/>
          <w:bCs/>
        </w:rPr>
        <w:t xml:space="preserve">Internal name:</w:t>
      </w:r>
      <w:r>
        <w:t xml:space="preserve"> </w:t>
      </w:r>
      <w:r>
        <w:t xml:space="preserve">Shyware Private Chat / Scytale Communications DPIA</w:t>
      </w:r>
    </w:p>
    <w:p>
      <w:r>
        <w:pict>
          <v:rect style="width:0;height:1.5pt" o:hralign="center" o:hrstd="t" o:hr="t"/>
        </w:pict>
      </w:r>
    </w:p>
    <w:bookmarkEnd w:id="19"/>
    <w:bookmarkEnd w:id="20"/>
    <w:bookmarkStart w:id="25" w:name="systematic-description-scytale-chat"/>
    <w:p>
      <w:pPr>
        <w:numPr>
          <w:ilvl w:val="0"/>
          <w:numId w:val="1002"/>
        </w:numPr>
        <w:pStyle w:val="Heading2"/>
      </w:pPr>
      <w:r>
        <w:t xml:space="preserve">SYSTEMATIC DESCRIPTION OF THE PROCESSING</w:t>
      </w:r>
    </w:p>
    <w:bookmarkStart w:id="24" w:name="high-level-scytale-chat"/>
    <w:p>
      <w:pPr>
        <w:numPr>
          <w:ilvl w:val="1"/>
          <w:numId w:val="1002"/>
        </w:numPr>
        <w:pStyle w:val="Heading3"/>
      </w:pPr>
      <w:r>
        <w:t xml:space="preserve">High-level Description of the Processing</w:t>
      </w:r>
    </w:p>
    <w:bookmarkStart w:id="21" w:name="processed-data-scytale-chat"/>
    <w:p>
      <w:pPr>
        <w:numPr>
          <w:ilvl w:val="2"/>
          <w:numId w:val="1002"/>
        </w:numPr>
        <w:pStyle w:val="Heading4"/>
      </w:pPr>
      <w:r>
        <w:t xml:space="preserve">Processed Personal Data</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42"/>
        <w:gridCol w:w="3089"/>
        <w:gridCol w:w="2714"/>
        <w:gridCol w:w="2714"/>
      </w:tblGrid>
      <w:tr>
        <w:trPr>
          <w:tblHeader w:val="on"/>
        </w:trPr>
        <w:tc>
          <w:tcPr>
            <w:tcW w:type="pct" w:w="4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w:t>
            </w:r>
          </w:p>
        </w:tc>
        <w:tc>
          <w:tcPr>
            <w:tcW w:type="pct" w:w="16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Personal Data Item</w:t>
            </w:r>
          </w:p>
        </w:tc>
        <w:tc>
          <w:tcPr>
            <w:tcW w:type="pct" w:w="14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Data Type / Data Subject Category</w:t>
            </w:r>
          </w:p>
        </w:tc>
        <w:tc>
          <w:tcPr>
            <w:tcW w:type="pct" w:w="14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Sensitivity</w:t>
            </w:r>
          </w:p>
        </w:tc>
      </w:tr>
      <w:tr>
        <w:tc>
          <w:tcPr>
            <w:tcW w:type="pct" w:w="450"/>
            <w:tcBorders>
              <w:top w:val="single" w:sz="8" w:space="0" w:color="000000"/>
              <w:left w:val="single" w:sz="8" w:space="0" w:color="000000"/>
              <w:bottom w:val="single" w:sz="8" w:space="0" w:color="000000"/>
              <w:right w:val="single" w:sz="8" w:space="0" w:color="000000"/>
            </w:tcBorders>
          </w:tcPr>
          <w:p>
            <w:pPr>
              <w:pStyle w:val="Compact"/>
              <w:jc w:val="left"/>
            </w:pPr>
            <w:r>
              <w:t xml:space="preserve">1</w:t>
            </w:r>
          </w:p>
        </w:tc>
        <w:tc>
          <w:tcPr>
            <w:tcW w:type="pct" w:w="1650"/>
            <w:tcBorders>
              <w:top w:val="single" w:sz="8" w:space="0" w:color="000000"/>
              <w:left w:val="single" w:sz="8" w:space="0" w:color="000000"/>
              <w:bottom w:val="single" w:sz="8" w:space="0" w:color="000000"/>
              <w:right w:val="single" w:sz="8" w:space="0" w:color="000000"/>
            </w:tcBorders>
          </w:tcPr>
          <w:p>
            <w:pPr>
              <w:pStyle w:val="Compact"/>
              <w:jc w:val="left"/>
            </w:pPr>
            <w:r>
              <w:t xml:space="preserve">Message content</w:t>
            </w:r>
          </w:p>
        </w:tc>
        <w:tc>
          <w:tcPr>
            <w:tcW w:type="pct" w:w="1450"/>
            <w:tcBorders>
              <w:top w:val="single" w:sz="8" w:space="0" w:color="000000"/>
              <w:left w:val="single" w:sz="8" w:space="0" w:color="000000"/>
              <w:bottom w:val="single" w:sz="8" w:space="0" w:color="000000"/>
              <w:right w:val="single" w:sz="8" w:space="0" w:color="000000"/>
            </w:tcBorders>
          </w:tcPr>
          <w:p>
            <w:pPr>
              <w:pStyle w:val="Compact"/>
              <w:jc w:val="left"/>
            </w:pPr>
            <w:r>
              <w:t xml:space="preserve">Private communications payload, sealed where configured</w:t>
            </w:r>
          </w:p>
        </w:tc>
        <w:tc>
          <w:tcPr>
            <w:tcW w:type="pct" w:w="1450"/>
            <w:tcBorders>
              <w:top w:val="single" w:sz="8" w:space="0" w:color="000000"/>
              <w:left w:val="single" w:sz="8" w:space="0" w:color="000000"/>
              <w:bottom w:val="single" w:sz="8" w:space="0" w:color="000000"/>
              <w:right w:val="single" w:sz="8" w:space="0" w:color="000000"/>
            </w:tcBorders>
          </w:tcPr>
          <w:p>
            <w:pPr>
              <w:pStyle w:val="Compact"/>
              <w:jc w:val="left"/>
            </w:pPr>
            <w:r>
              <w:t xml:space="preserve">High</w:t>
            </w:r>
          </w:p>
        </w:tc>
      </w:tr>
      <w:tr>
        <w:tc>
          <w:tcPr>
            <w:tcW w:type="pct" w:w="450"/>
            <w:tcBorders>
              <w:top w:val="single" w:sz="8" w:space="0" w:color="000000"/>
              <w:left w:val="single" w:sz="8" w:space="0" w:color="000000"/>
              <w:bottom w:val="single" w:sz="8" w:space="0" w:color="000000"/>
              <w:right w:val="single" w:sz="8" w:space="0" w:color="000000"/>
            </w:tcBorders>
          </w:tcPr>
          <w:p>
            <w:pPr>
              <w:pStyle w:val="Compact"/>
              <w:jc w:val="left"/>
            </w:pPr>
            <w:r>
              <w:t xml:space="preserve">2</w:t>
            </w:r>
          </w:p>
        </w:tc>
        <w:tc>
          <w:tcPr>
            <w:tcW w:type="pct" w:w="1650"/>
            <w:tcBorders>
              <w:top w:val="single" w:sz="8" w:space="0" w:color="000000"/>
              <w:left w:val="single" w:sz="8" w:space="0" w:color="000000"/>
              <w:bottom w:val="single" w:sz="8" w:space="0" w:color="000000"/>
              <w:right w:val="single" w:sz="8" w:space="0" w:color="000000"/>
            </w:tcBorders>
          </w:tcPr>
          <w:p>
            <w:pPr>
              <w:pStyle w:val="Compact"/>
              <w:jc w:val="left"/>
            </w:pPr>
            <w:r>
              <w:t xml:space="preserve">Account/auth data</w:t>
            </w:r>
          </w:p>
        </w:tc>
        <w:tc>
          <w:tcPr>
            <w:tcW w:type="pct" w:w="1450"/>
            <w:tcBorders>
              <w:top w:val="single" w:sz="8" w:space="0" w:color="000000"/>
              <w:left w:val="single" w:sz="8" w:space="0" w:color="000000"/>
              <w:bottom w:val="single" w:sz="8" w:space="0" w:color="000000"/>
              <w:right w:val="single" w:sz="8" w:space="0" w:color="000000"/>
            </w:tcBorders>
          </w:tcPr>
          <w:p>
            <w:pPr>
              <w:pStyle w:val="Compact"/>
              <w:jc w:val="left"/>
            </w:pPr>
            <w:r>
              <w:t xml:space="preserve">Login, session, Firebase/Cognito or private-surface auth context</w:t>
            </w:r>
          </w:p>
        </w:tc>
        <w:tc>
          <w:tcPr>
            <w:tcW w:type="pct" w:w="1450"/>
            <w:tcBorders>
              <w:top w:val="single" w:sz="8" w:space="0" w:color="000000"/>
              <w:left w:val="single" w:sz="8" w:space="0" w:color="000000"/>
              <w:bottom w:val="single" w:sz="8" w:space="0" w:color="000000"/>
              <w:right w:val="single" w:sz="8" w:space="0" w:color="000000"/>
            </w:tcBorders>
          </w:tcPr>
          <w:p>
            <w:pPr>
              <w:pStyle w:val="Compact"/>
              <w:jc w:val="left"/>
            </w:pPr>
            <w:r>
              <w:t xml:space="preserve">Medium/High</w:t>
            </w:r>
          </w:p>
        </w:tc>
      </w:tr>
      <w:tr>
        <w:tc>
          <w:tcPr>
            <w:tcW w:type="pct" w:w="450"/>
            <w:tcBorders>
              <w:top w:val="single" w:sz="8" w:space="0" w:color="000000"/>
              <w:left w:val="single" w:sz="8" w:space="0" w:color="000000"/>
              <w:bottom w:val="single" w:sz="8" w:space="0" w:color="000000"/>
              <w:right w:val="single" w:sz="8" w:space="0" w:color="000000"/>
            </w:tcBorders>
          </w:tcPr>
          <w:p>
            <w:pPr>
              <w:pStyle w:val="Compact"/>
              <w:jc w:val="left"/>
            </w:pPr>
            <w:r>
              <w:t xml:space="preserve">3</w:t>
            </w:r>
          </w:p>
        </w:tc>
        <w:tc>
          <w:tcPr>
            <w:tcW w:type="pct" w:w="1650"/>
            <w:tcBorders>
              <w:top w:val="single" w:sz="8" w:space="0" w:color="000000"/>
              <w:left w:val="single" w:sz="8" w:space="0" w:color="000000"/>
              <w:bottom w:val="single" w:sz="8" w:space="0" w:color="000000"/>
              <w:right w:val="single" w:sz="8" w:space="0" w:color="000000"/>
            </w:tcBorders>
          </w:tcPr>
          <w:p>
            <w:pPr>
              <w:pStyle w:val="Compact"/>
              <w:jc w:val="left"/>
            </w:pPr>
            <w:r>
              <w:t xml:space="preserve">Sender/recipient metadata</w:t>
            </w:r>
          </w:p>
        </w:tc>
        <w:tc>
          <w:tcPr>
            <w:tcW w:type="pct" w:w="1450"/>
            <w:tcBorders>
              <w:top w:val="single" w:sz="8" w:space="0" w:color="000000"/>
              <w:left w:val="single" w:sz="8" w:space="0" w:color="000000"/>
              <w:bottom w:val="single" w:sz="8" w:space="0" w:color="000000"/>
              <w:right w:val="single" w:sz="8" w:space="0" w:color="000000"/>
            </w:tcBorders>
          </w:tcPr>
          <w:p>
            <w:pPr>
              <w:pStyle w:val="Compact"/>
              <w:jc w:val="left"/>
            </w:pPr>
            <w:r>
              <w:t xml:space="preserve">Conversation participants, timestamps, routing state</w:t>
            </w:r>
          </w:p>
        </w:tc>
        <w:tc>
          <w:tcPr>
            <w:tcW w:type="pct" w:w="1450"/>
            <w:tcBorders>
              <w:top w:val="single" w:sz="8" w:space="0" w:color="000000"/>
              <w:left w:val="single" w:sz="8" w:space="0" w:color="000000"/>
              <w:bottom w:val="single" w:sz="8" w:space="0" w:color="000000"/>
              <w:right w:val="single" w:sz="8" w:space="0" w:color="000000"/>
            </w:tcBorders>
          </w:tcPr>
          <w:p>
            <w:pPr>
              <w:pStyle w:val="Compact"/>
              <w:jc w:val="left"/>
            </w:pPr>
            <w:r>
              <w:t xml:space="preserve">High</w:t>
            </w:r>
          </w:p>
        </w:tc>
      </w:tr>
      <w:tr>
        <w:tc>
          <w:tcPr>
            <w:tcW w:type="pct" w:w="450"/>
            <w:tcBorders>
              <w:top w:val="single" w:sz="8" w:space="0" w:color="000000"/>
              <w:left w:val="single" w:sz="8" w:space="0" w:color="000000"/>
              <w:bottom w:val="single" w:sz="8" w:space="0" w:color="000000"/>
              <w:right w:val="single" w:sz="8" w:space="0" w:color="000000"/>
            </w:tcBorders>
          </w:tcPr>
          <w:p>
            <w:pPr>
              <w:pStyle w:val="Compact"/>
              <w:jc w:val="left"/>
            </w:pPr>
            <w:r>
              <w:t xml:space="preserve">4</w:t>
            </w:r>
          </w:p>
        </w:tc>
        <w:tc>
          <w:tcPr>
            <w:tcW w:type="pct" w:w="1650"/>
            <w:tcBorders>
              <w:top w:val="single" w:sz="8" w:space="0" w:color="000000"/>
              <w:left w:val="single" w:sz="8" w:space="0" w:color="000000"/>
              <w:bottom w:val="single" w:sz="8" w:space="0" w:color="000000"/>
              <w:right w:val="single" w:sz="8" w:space="0" w:color="000000"/>
            </w:tcBorders>
          </w:tcPr>
          <w:p>
            <w:pPr>
              <w:pStyle w:val="Compact"/>
              <w:jc w:val="left"/>
            </w:pPr>
            <w:r>
              <w:t xml:space="preserve">Audit/security logs</w:t>
            </w:r>
          </w:p>
        </w:tc>
        <w:tc>
          <w:tcPr>
            <w:tcW w:type="pct" w:w="1450"/>
            <w:tcBorders>
              <w:top w:val="single" w:sz="8" w:space="0" w:color="000000"/>
              <w:left w:val="single" w:sz="8" w:space="0" w:color="000000"/>
              <w:bottom w:val="single" w:sz="8" w:space="0" w:color="000000"/>
              <w:right w:val="single" w:sz="8" w:space="0" w:color="000000"/>
            </w:tcBorders>
          </w:tcPr>
          <w:p>
            <w:pPr>
              <w:pStyle w:val="Compact"/>
              <w:jc w:val="left"/>
            </w:pPr>
            <w:r>
              <w:t xml:space="preserve">Operational and security events</w:t>
            </w:r>
          </w:p>
        </w:tc>
        <w:tc>
          <w:tcPr>
            <w:tcW w:type="pct" w:w="1450"/>
            <w:tcBorders>
              <w:top w:val="single" w:sz="8" w:space="0" w:color="000000"/>
              <w:left w:val="single" w:sz="8" w:space="0" w:color="000000"/>
              <w:bottom w:val="single" w:sz="8" w:space="0" w:color="000000"/>
              <w:right w:val="single" w:sz="8" w:space="0" w:color="000000"/>
            </w:tcBorders>
          </w:tcPr>
          <w:p>
            <w:pPr>
              <w:pStyle w:val="Compact"/>
              <w:jc w:val="left"/>
            </w:pPr>
            <w:r>
              <w:t xml:space="preserve">Medium</w:t>
            </w:r>
          </w:p>
        </w:tc>
      </w:tr>
    </w:tbl>
    <w:bookmarkEnd w:id="21"/>
    <w:bookmarkStart w:id="22" w:name="purposes-scytale-chat"/>
    <w:p>
      <w:pPr>
        <w:numPr>
          <w:ilvl w:val="2"/>
          <w:numId w:val="1002"/>
        </w:numPr>
        <w:pStyle w:val="Heading4"/>
      </w:pPr>
      <w:r>
        <w:t xml:space="preserve">Purposes of the Processing</w:t>
      </w:r>
    </w:p>
    <w:p>
      <w:pPr>
        <w:pStyle w:val="FirstParagraph"/>
      </w:pPr>
      <w:r>
        <w:t xml:space="preserve">Provide private communications, account access, message retrieval, security, abuse prevention, and customer support. The customer controls the communication context and legal basis.</w:t>
      </w:r>
    </w:p>
    <w:bookmarkEnd w:id="22"/>
    <w:bookmarkStart w:id="23" w:name="nature-scytale-chat"/>
    <w:p>
      <w:pPr>
        <w:numPr>
          <w:ilvl w:val="2"/>
          <w:numId w:val="1002"/>
        </w:numPr>
        <w:pStyle w:val="Heading4"/>
      </w:pPr>
      <w:r>
        <w:t xml:space="preserve">Nature, Scope and Context</w:t>
      </w:r>
    </w:p>
    <w:p>
      <w:pPr>
        <w:pStyle w:val="FirstParagraph"/>
      </w:pPr>
      <w:r>
        <w:t xml:space="preserve">Private messaging creates high metadata risk even where content is sealed. The Scytale/private surface appears to use account authentication and service APIs, so the DPIA must separately assess message confidentiality, metadata minimization, retention, access controls, and lawful disclosure handling.</w:t>
      </w:r>
    </w:p>
    <w:bookmarkEnd w:id="23"/>
    <w:bookmarkEnd w:id="24"/>
    <w:bookmarkEnd w:id="25"/>
    <w:bookmarkStart w:id="29" w:name="analysis-scytale-chat"/>
    <w:p>
      <w:pPr>
        <w:numPr>
          <w:ilvl w:val="0"/>
          <w:numId w:val="1002"/>
        </w:numPr>
        <w:pStyle w:val="Heading2"/>
      </w:pPr>
      <w:r>
        <w:t xml:space="preserve">ANALYSIS OF THE PROCESSING</w:t>
      </w:r>
    </w:p>
    <w:bookmarkStart w:id="26" w:name="lawfulness-scytale-chat"/>
    <w:p>
      <w:pPr>
        <w:numPr>
          <w:ilvl w:val="1"/>
          <w:numId w:val="1002"/>
        </w:numPr>
        <w:pStyle w:val="Heading3"/>
      </w:pPr>
      <w:r>
        <w:t xml:space="preserve">Lawfulness and Minimisation</w:t>
      </w:r>
    </w:p>
    <w:p>
      <w:pPr>
        <w:pStyle w:val="FirstParagraph"/>
      </w:pPr>
      <w:r>
        <w:t xml:space="preserve">Customer controllers must define legal basis and notice language for message content and metadata. Shyware should process message content only under instruction, minimize server-side plaintext, and avoid telemetry that captures message content, participant identifiers, or sensitive metadata.</w:t>
      </w:r>
    </w:p>
    <w:bookmarkEnd w:id="26"/>
    <w:bookmarkStart w:id="28" w:name="patent-alignment-scytale-chat"/>
    <w:p>
      <w:pPr>
        <w:numPr>
          <w:ilvl w:val="1"/>
          <w:numId w:val="1002"/>
        </w:numPr>
        <w:pStyle w:val="Heading3"/>
      </w:pPr>
      <w:r>
        <w:t xml:space="preserve">Mainhub Patent Alignment</w:t>
      </w:r>
    </w:p>
    <w:p>
      <w:pPr>
        <w:pStyle w:val="FirstParagraph"/>
      </w:pPr>
      <w:r>
        <w:t xml:space="preserve">The Mainhub patent architecture is useful only where a chat deployment uses canonical two-list records for a specific attestable event or state. It does not make message content, sender/recipient metadata, account sessions, retention stores, lawful-access workflows, or endpoint notifications anonymous. Communications DPIA review must therefore focus on content confidentiality, metadata minimization, retention/export, and legal-hold requirements separately from canonical-state linkage.</w:t>
      </w:r>
    </w:p>
    <w:bookmarkStart w:id="27" w:name="authority-partition-scytale-chat"/>
    <w:p>
      <w:pPr>
        <w:numPr>
          <w:ilvl w:val="2"/>
          <w:numId w:val="1002"/>
        </w:numPr>
        <w:pStyle w:val="Heading4"/>
      </w:pPr>
      <w:r>
        <w:t xml:space="preserve">Authority Partition</w:t>
      </w:r>
    </w:p>
    <w:p>
      <w:pPr>
        <w:pStyle w:val="FirstParagraph"/>
      </w:pPr>
      <w:r>
        <w:t xml:space="preserve">This is a sealer-governed embodiment (multi-account, no unique-person count-match). Three parties:</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1685"/>
        <w:gridCol w:w="3557"/>
        <w:gridCol w:w="4118"/>
      </w:tblGrid>
      <w:tr>
        <w:trPr>
          <w:tblHeader w:val="on"/>
        </w:trPr>
        <w:tc>
          <w:tcPr>
            <w:tcW w:type="pct" w:w="9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Authority</w:t>
            </w:r>
          </w:p>
        </w:tc>
        <w:tc>
          <w:tcPr>
            <w:tcW w:type="pct" w:w="19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Role</w:t>
            </w:r>
          </w:p>
        </w:tc>
        <w:tc>
          <w:tcPr>
            <w:tcW w:type="pct" w:w="22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Structural Constraint</w:t>
            </w:r>
          </w:p>
        </w:tc>
      </w:tr>
      <w:tr>
        <w:tc>
          <w:tcPr>
            <w:tcW w:type="pct" w:w="900"/>
            <w:tcBorders>
              <w:top w:val="single" w:sz="8" w:space="0" w:color="000000"/>
              <w:left w:val="single" w:sz="8" w:space="0" w:color="000000"/>
              <w:bottom w:val="single" w:sz="8" w:space="0" w:color="000000"/>
              <w:right w:val="single" w:sz="8" w:space="0" w:color="000000"/>
            </w:tcBorders>
          </w:tcPr>
          <w:p>
            <w:pPr>
              <w:pStyle w:val="Compact"/>
              <w:jc w:val="left"/>
            </w:pPr>
            <w:r>
              <w:t xml:space="preserve">Auth (Cognito)</w:t>
            </w:r>
          </w:p>
        </w:tc>
        <w:tc>
          <w:tcPr>
            <w:tcW w:type="pct" w:w="1900"/>
            <w:tcBorders>
              <w:top w:val="single" w:sz="8" w:space="0" w:color="000000"/>
              <w:left w:val="single" w:sz="8" w:space="0" w:color="000000"/>
              <w:bottom w:val="single" w:sz="8" w:space="0" w:color="000000"/>
              <w:right w:val="single" w:sz="8" w:space="0" w:color="000000"/>
            </w:tcBorders>
          </w:tcPr>
          <w:p>
            <w:pPr>
              <w:pStyle w:val="Compact"/>
              <w:jc w:val="left"/>
            </w:pPr>
            <w:r>
              <w:t xml:space="preserve">Account layer; always required; authentication gate for erasure requests — does NOT hold a co-signature key;</w:t>
            </w:r>
            <w:r>
              <w:t xml:space="preserve"> </w:t>
            </w:r>
            <w:r>
              <w:rPr>
                <w:rStyle w:val="VerbatimChar"/>
              </w:rPr>
              <w:t xml:space="preserve">TxTypeAuthorityRescind</w:t>
            </w:r>
            <w:r>
              <w:t xml:space="preserve"> </w:t>
            </w:r>
            <w:r>
              <w:t xml:space="preserve">is structurally unavailable in sealer-governed deployments</w:t>
            </w:r>
          </w:p>
        </w:tc>
        <w:tc>
          <w:tcPr>
            <w:tcW w:type="pct" w:w="2200"/>
            <w:tcBorders>
              <w:top w:val="single" w:sz="8" w:space="0" w:color="000000"/>
              <w:left w:val="single" w:sz="8" w:space="0" w:color="000000"/>
              <w:bottom w:val="single" w:sz="8" w:space="0" w:color="000000"/>
              <w:right w:val="single" w:sz="8" w:space="0" w:color="000000"/>
            </w:tcBorders>
          </w:tcPr>
          <w:p>
            <w:pPr>
              <w:pStyle w:val="Compact"/>
              <w:jc w:val="left"/>
            </w:pPr>
            <w:r>
              <w:t xml:space="preserve">No canonical delete-only key; erasure = sealer key deletion by reconciling authority on authenticated (Cognito-gated) request; canonical L1/L2 records are BFT-immutable and persist; payload becomes permanently undecryptable</w:t>
            </w:r>
          </w:p>
        </w:tc>
      </w:tr>
      <w:tr>
        <w:tc>
          <w:tcPr>
            <w:tcW w:type="pct" w:w="900"/>
            <w:tcBorders>
              <w:top w:val="single" w:sz="8" w:space="0" w:color="000000"/>
              <w:left w:val="single" w:sz="8" w:space="0" w:color="000000"/>
              <w:bottom w:val="single" w:sz="8" w:space="0" w:color="000000"/>
              <w:right w:val="single" w:sz="8" w:space="0" w:color="000000"/>
            </w:tcBorders>
          </w:tcPr>
          <w:p>
            <w:pPr>
              <w:pStyle w:val="Compact"/>
              <w:jc w:val="left"/>
            </w:pPr>
            <w:r>
              <w:t xml:space="preserve">IDV/KYC (Didit)</w:t>
            </w:r>
          </w:p>
        </w:tc>
        <w:tc>
          <w:tcPr>
            <w:tcW w:type="pct" w:w="1900"/>
            <w:tcBorders>
              <w:top w:val="single" w:sz="8" w:space="0" w:color="000000"/>
              <w:left w:val="single" w:sz="8" w:space="0" w:color="000000"/>
              <w:bottom w:val="single" w:sz="8" w:space="0" w:color="000000"/>
              <w:right w:val="single" w:sz="8" w:space="0" w:color="000000"/>
            </w:tcBorders>
          </w:tcPr>
          <w:p>
            <w:pPr>
              <w:pStyle w:val="Compact"/>
              <w:jc w:val="left"/>
            </w:pPr>
            <w:r>
              <w:t xml:space="preserve">Verifies account belongs to a real, verified person; assessed on authenticated users</w:t>
            </w:r>
          </w:p>
        </w:tc>
        <w:tc>
          <w:tcPr>
            <w:tcW w:type="pct" w:w="2200"/>
            <w:tcBorders>
              <w:top w:val="single" w:sz="8" w:space="0" w:color="000000"/>
              <w:left w:val="single" w:sz="8" w:space="0" w:color="000000"/>
              <w:bottom w:val="single" w:sz="8" w:space="0" w:color="000000"/>
              <w:right w:val="single" w:sz="8" w:space="0" w:color="000000"/>
            </w:tcBorders>
          </w:tcPr>
          <w:p>
            <w:pPr>
              <w:pStyle w:val="Compact"/>
              <w:jc w:val="left"/>
            </w:pPr>
            <w:r>
              <w:t xml:space="preserve">Cannot access sealer, linkage store, or authorize canonical actions</w:t>
            </w:r>
          </w:p>
        </w:tc>
      </w:tr>
      <w:tr>
        <w:tc>
          <w:tcPr>
            <w:tcW w:type="pct" w:w="900"/>
            <w:tcBorders>
              <w:top w:val="single" w:sz="8" w:space="0" w:color="000000"/>
              <w:left w:val="single" w:sz="8" w:space="0" w:color="000000"/>
              <w:bottom w:val="single" w:sz="8" w:space="0" w:color="000000"/>
              <w:right w:val="single" w:sz="8" w:space="0" w:color="000000"/>
            </w:tcBorders>
          </w:tcPr>
          <w:p>
            <w:pPr>
              <w:pStyle w:val="Compact"/>
              <w:jc w:val="left"/>
            </w:pPr>
            <w:r>
              <w:t xml:space="preserve">Reconciling authority</w:t>
            </w:r>
          </w:p>
        </w:tc>
        <w:tc>
          <w:tcPr>
            <w:tcW w:type="pct" w:w="1900"/>
            <w:tcBorders>
              <w:top w:val="single" w:sz="8" w:space="0" w:color="000000"/>
              <w:left w:val="single" w:sz="8" w:space="0" w:color="000000"/>
              <w:bottom w:val="single" w:sz="8" w:space="0" w:color="000000"/>
              <w:right w:val="single" w:sz="8" w:space="0" w:color="000000"/>
            </w:tcBorders>
          </w:tcPr>
          <w:p>
            <w:pPr>
              <w:pStyle w:val="Compact"/>
              <w:jc w:val="left"/>
            </w:pPr>
            <w:r>
              <w:t xml:space="preserve">Off-chain linkage store + sealer keys</w:t>
            </w:r>
          </w:p>
        </w:tc>
        <w:tc>
          <w:tcPr>
            <w:tcW w:type="pct" w:w="2200"/>
            <w:tcBorders>
              <w:top w:val="single" w:sz="8" w:space="0" w:color="000000"/>
              <w:left w:val="single" w:sz="8" w:space="0" w:color="000000"/>
              <w:bottom w:val="single" w:sz="8" w:space="0" w:color="000000"/>
              <w:right w:val="single" w:sz="8" w:space="0" w:color="000000"/>
            </w:tcBorders>
          </w:tcPr>
          <w:p>
            <w:pPr>
              <w:pStyle w:val="Compact"/>
              <w:jc w:val="left"/>
            </w:pPr>
            <w:r>
              <w:t xml:space="preserve">Eligibility key is never registered at scoping-identifier creation; the rescission pathway is therefore unavailable by construction at the state-machine validation layer</w:t>
            </w:r>
          </w:p>
        </w:tc>
      </w:tr>
    </w:tbl>
    <w:p>
      <w:pPr>
        <w:pStyle w:val="BodyText"/>
      </w:pPr>
      <w:r>
        <w:t xml:space="preserve">Because this is a sealer-governed deployment, no eligibility authority key is registered and the rescission mechanism is structurally unavailable. The dual co-authorization constraint does not apply. The worst-case unilateral threat is payload disclosure via the sealer (reconciling authority), not count manipulation.</w:t>
      </w:r>
    </w:p>
    <w:bookmarkEnd w:id="27"/>
    <w:bookmarkEnd w:id="28"/>
    <w:bookmarkEnd w:id="29"/>
    <w:bookmarkStart w:id="30" w:name="necessity-scytale-chat"/>
    <w:p>
      <w:pPr>
        <w:numPr>
          <w:ilvl w:val="0"/>
          <w:numId w:val="1002"/>
        </w:numPr>
        <w:pStyle w:val="Heading2"/>
      </w:pPr>
      <w:r>
        <w:t xml:space="preserve">CONSIDERATIONS ON NECESSITY AND PROPORTIONALITY</w:t>
      </w:r>
    </w:p>
    <w:p>
      <w:pPr>
        <w:pStyle w:val="FirstParagraph"/>
      </w:pPr>
      <w:r>
        <w:t xml:space="preserve">The private chat pattern may be proportionate where message confidentiality, account recovery, moderation, abuse reporting, or auditability is necessary for the customer service. It is not proportionate to retain message content, recipient metadata, or legal-hold artifacts beyond the stated purpose. Production should wait until retention/export, endpoint notification, lawful-access, account recovery, and abuse-reporting policies are fixed.</w:t>
      </w:r>
    </w:p>
    <w:bookmarkEnd w:id="30"/>
    <w:bookmarkStart w:id="34" w:name="risk-scytale-chat"/>
    <w:p>
      <w:pPr>
        <w:numPr>
          <w:ilvl w:val="0"/>
          <w:numId w:val="1002"/>
        </w:numPr>
        <w:pStyle w:val="Heading2"/>
      </w:pPr>
      <w:r>
        <w:t xml:space="preserve">RISK ASSESSMENT AND MANAGEMENT</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42"/>
        <w:gridCol w:w="3463"/>
        <w:gridCol w:w="5054"/>
      </w:tblGrid>
      <w:tr>
        <w:trPr>
          <w:tblHeader w:val="on"/>
        </w:trPr>
        <w:tc>
          <w:tcPr>
            <w:tcW w:type="pct" w:w="4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w:t>
            </w:r>
          </w:p>
        </w:tc>
        <w:tc>
          <w:tcPr>
            <w:tcW w:type="pct" w:w="18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Risk</w:t>
            </w:r>
          </w:p>
        </w:tc>
        <w:tc>
          <w:tcPr>
            <w:tcW w:type="pct" w:w="27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Required Follow-up</w:t>
            </w:r>
          </w:p>
        </w:tc>
      </w:tr>
      <w:tr>
        <w:tc>
          <w:tcPr>
            <w:tcW w:type="pct" w:w="450"/>
            <w:tcBorders>
              <w:top w:val="single" w:sz="8" w:space="0" w:color="000000"/>
              <w:left w:val="single" w:sz="8" w:space="0" w:color="000000"/>
              <w:bottom w:val="single" w:sz="8" w:space="0" w:color="000000"/>
              <w:right w:val="single" w:sz="8" w:space="0" w:color="000000"/>
            </w:tcBorders>
          </w:tcPr>
          <w:p>
            <w:pPr>
              <w:pStyle w:val="Compact"/>
              <w:jc w:val="left"/>
            </w:pPr>
            <w:r>
              <w:t xml:space="preserve">1</w:t>
            </w:r>
          </w:p>
        </w:tc>
        <w:tc>
          <w:tcPr>
            <w:tcW w:type="pct" w:w="1850"/>
            <w:tcBorders>
              <w:top w:val="single" w:sz="8" w:space="0" w:color="000000"/>
              <w:left w:val="single" w:sz="8" w:space="0" w:color="000000"/>
              <w:bottom w:val="single" w:sz="8" w:space="0" w:color="000000"/>
              <w:right w:val="single" w:sz="8" w:space="0" w:color="000000"/>
            </w:tcBorders>
          </w:tcPr>
          <w:p>
            <w:pPr>
              <w:pStyle w:val="Compact"/>
              <w:jc w:val="left"/>
            </w:pPr>
            <w:r>
              <w:t xml:space="preserve">Message content exposure</w:t>
            </w:r>
          </w:p>
        </w:tc>
        <w:tc>
          <w:tcPr>
            <w:tcW w:type="pct" w:w="2700"/>
            <w:tcBorders>
              <w:top w:val="single" w:sz="8" w:space="0" w:color="000000"/>
              <w:left w:val="single" w:sz="8" w:space="0" w:color="000000"/>
              <w:bottom w:val="single" w:sz="8" w:space="0" w:color="000000"/>
              <w:right w:val="single" w:sz="8" w:space="0" w:color="000000"/>
            </w:tcBorders>
          </w:tcPr>
          <w:p>
            <w:pPr>
              <w:pStyle w:val="Compact"/>
              <w:jc w:val="left"/>
            </w:pPr>
            <w:r>
              <w:t xml:space="preserve">Confirm sealing/E2E posture, key custody, and plaintext boundaries</w:t>
            </w:r>
          </w:p>
        </w:tc>
      </w:tr>
      <w:tr>
        <w:tc>
          <w:tcPr>
            <w:tcW w:type="pct" w:w="450"/>
            <w:tcBorders>
              <w:top w:val="single" w:sz="8" w:space="0" w:color="000000"/>
              <w:left w:val="single" w:sz="8" w:space="0" w:color="000000"/>
              <w:bottom w:val="single" w:sz="8" w:space="0" w:color="000000"/>
              <w:right w:val="single" w:sz="8" w:space="0" w:color="000000"/>
            </w:tcBorders>
          </w:tcPr>
          <w:p>
            <w:pPr>
              <w:pStyle w:val="Compact"/>
              <w:jc w:val="left"/>
            </w:pPr>
            <w:r>
              <w:t xml:space="preserve">2</w:t>
            </w:r>
          </w:p>
        </w:tc>
        <w:tc>
          <w:tcPr>
            <w:tcW w:type="pct" w:w="1850"/>
            <w:tcBorders>
              <w:top w:val="single" w:sz="8" w:space="0" w:color="000000"/>
              <w:left w:val="single" w:sz="8" w:space="0" w:color="000000"/>
              <w:bottom w:val="single" w:sz="8" w:space="0" w:color="000000"/>
              <w:right w:val="single" w:sz="8" w:space="0" w:color="000000"/>
            </w:tcBorders>
          </w:tcPr>
          <w:p>
            <w:pPr>
              <w:pStyle w:val="Compact"/>
              <w:jc w:val="left"/>
            </w:pPr>
            <w:r>
              <w:t xml:space="preserve">Communications metadata profiling</w:t>
            </w:r>
          </w:p>
        </w:tc>
        <w:tc>
          <w:tcPr>
            <w:tcW w:type="pct" w:w="2700"/>
            <w:tcBorders>
              <w:top w:val="single" w:sz="8" w:space="0" w:color="000000"/>
              <w:left w:val="single" w:sz="8" w:space="0" w:color="000000"/>
              <w:bottom w:val="single" w:sz="8" w:space="0" w:color="000000"/>
              <w:right w:val="single" w:sz="8" w:space="0" w:color="000000"/>
            </w:tcBorders>
          </w:tcPr>
          <w:p>
            <w:pPr>
              <w:pStyle w:val="Compact"/>
              <w:jc w:val="left"/>
            </w:pPr>
            <w:r>
              <w:t xml:space="preserve">Define retention, access controls, and minimization for sender/recipient/timestamp data</w:t>
            </w:r>
          </w:p>
        </w:tc>
      </w:tr>
      <w:tr>
        <w:tc>
          <w:tcPr>
            <w:tcW w:type="pct" w:w="450"/>
            <w:tcBorders>
              <w:top w:val="single" w:sz="8" w:space="0" w:color="000000"/>
              <w:left w:val="single" w:sz="8" w:space="0" w:color="000000"/>
              <w:bottom w:val="single" w:sz="8" w:space="0" w:color="000000"/>
              <w:right w:val="single" w:sz="8" w:space="0" w:color="000000"/>
            </w:tcBorders>
          </w:tcPr>
          <w:p>
            <w:pPr>
              <w:pStyle w:val="Compact"/>
              <w:jc w:val="left"/>
            </w:pPr>
            <w:r>
              <w:t xml:space="preserve">3</w:t>
            </w:r>
          </w:p>
        </w:tc>
        <w:tc>
          <w:tcPr>
            <w:tcW w:type="pct" w:w="1850"/>
            <w:tcBorders>
              <w:top w:val="single" w:sz="8" w:space="0" w:color="000000"/>
              <w:left w:val="single" w:sz="8" w:space="0" w:color="000000"/>
              <w:bottom w:val="single" w:sz="8" w:space="0" w:color="000000"/>
              <w:right w:val="single" w:sz="8" w:space="0" w:color="000000"/>
            </w:tcBorders>
          </w:tcPr>
          <w:p>
            <w:pPr>
              <w:pStyle w:val="Compact"/>
              <w:jc w:val="left"/>
            </w:pPr>
            <w:r>
              <w:t xml:space="preserve">Account takeover</w:t>
            </w:r>
          </w:p>
        </w:tc>
        <w:tc>
          <w:tcPr>
            <w:tcW w:type="pct" w:w="2700"/>
            <w:tcBorders>
              <w:top w:val="single" w:sz="8" w:space="0" w:color="000000"/>
              <w:left w:val="single" w:sz="8" w:space="0" w:color="000000"/>
              <w:bottom w:val="single" w:sz="8" w:space="0" w:color="000000"/>
              <w:right w:val="single" w:sz="8" w:space="0" w:color="000000"/>
            </w:tcBorders>
          </w:tcPr>
          <w:p>
            <w:pPr>
              <w:pStyle w:val="Compact"/>
              <w:jc w:val="left"/>
            </w:pPr>
            <w:r>
              <w:t xml:space="preserve">Review authentication, session management, and recovery flows</w:t>
            </w:r>
          </w:p>
        </w:tc>
      </w:tr>
      <w:tr>
        <w:tc>
          <w:tcPr>
            <w:tcW w:type="pct" w:w="450"/>
            <w:tcBorders>
              <w:top w:val="single" w:sz="8" w:space="0" w:color="000000"/>
              <w:left w:val="single" w:sz="8" w:space="0" w:color="000000"/>
              <w:bottom w:val="single" w:sz="8" w:space="0" w:color="000000"/>
              <w:right w:val="single" w:sz="8" w:space="0" w:color="000000"/>
            </w:tcBorders>
          </w:tcPr>
          <w:p>
            <w:pPr>
              <w:pStyle w:val="Compact"/>
              <w:jc w:val="left"/>
            </w:pPr>
            <w:r>
              <w:t xml:space="preserve">4</w:t>
            </w:r>
          </w:p>
        </w:tc>
        <w:tc>
          <w:tcPr>
            <w:tcW w:type="pct" w:w="1850"/>
            <w:tcBorders>
              <w:top w:val="single" w:sz="8" w:space="0" w:color="000000"/>
              <w:left w:val="single" w:sz="8" w:space="0" w:color="000000"/>
              <w:bottom w:val="single" w:sz="8" w:space="0" w:color="000000"/>
              <w:right w:val="single" w:sz="8" w:space="0" w:color="000000"/>
            </w:tcBorders>
          </w:tcPr>
          <w:p>
            <w:pPr>
              <w:pStyle w:val="Compact"/>
              <w:jc w:val="left"/>
            </w:pPr>
            <w:r>
              <w:t xml:space="preserve">Lawful access overreach</w:t>
            </w:r>
          </w:p>
        </w:tc>
        <w:tc>
          <w:tcPr>
            <w:tcW w:type="pct" w:w="2700"/>
            <w:tcBorders>
              <w:top w:val="single" w:sz="8" w:space="0" w:color="000000"/>
              <w:left w:val="single" w:sz="8" w:space="0" w:color="000000"/>
              <w:bottom w:val="single" w:sz="8" w:space="0" w:color="000000"/>
              <w:right w:val="single" w:sz="8" w:space="0" w:color="000000"/>
            </w:tcBorders>
          </w:tcPr>
          <w:p>
            <w:pPr>
              <w:pStyle w:val="Compact"/>
              <w:jc w:val="left"/>
            </w:pPr>
            <w:r>
              <w:t xml:space="preserve">Define request review, logging, and customer instruction process</w:t>
            </w:r>
          </w:p>
        </w:tc>
      </w:tr>
    </w:tbl>
    <w:bookmarkStart w:id="32" w:name="dpia-audit-scytale-chat"/>
    <w:p>
      <w:pPr>
        <w:numPr>
          <w:ilvl w:val="1"/>
          <w:numId w:val="1002"/>
        </w:numPr>
        <w:pStyle w:val="Heading3"/>
      </w:pPr>
      <w:r>
        <w:t xml:space="preserve">DPIA Audit Findings</w:t>
      </w:r>
    </w:p>
    <w:p>
      <w:pPr>
        <w:pStyle w:val="FirstParagraph"/>
      </w:pPr>
      <w:r>
        <w:t xml:space="preserve">This DPIA is the audit record for private chat and Scytale communications deployments. Before production, the DPIA must identify the provider partition across account/auth provider, message transport, protected linkage store, reconciling authority, canonical commit authority where used, and telemetry/support providers. Canonical-state unlinkability does not reduce risks from message content, sender/recipient metadata, notifications, endpoint compromise, legal hold, abuse reporting, or account recovery. The software evidence for the core kernel may be complete while retention/export, moderation, lawful-access, metadata minimization, and endpoint controls still need to be fixed for this domain.</w:t>
      </w:r>
    </w:p>
    <w:bookmarkStart w:id="31" w:name="compliance-instructions-scytale-chat"/>
    <w:p>
      <w:pPr>
        <w:numPr>
          <w:ilvl w:val="2"/>
          <w:numId w:val="1002"/>
        </w:numPr>
        <w:pStyle w:val="Heading4"/>
      </w:pPr>
      <w:r>
        <w:t xml:space="preserve">Operator Compliance Instructions</w:t>
      </w:r>
    </w:p>
    <w:p>
      <w:pPr>
        <w:pStyle w:val="FirstParagraph"/>
      </w:pPr>
      <w:r>
        <w:t xml:space="preserve">For the non-code governance residuals identified in this DPIA, the operator is instructed by the</w:t>
      </w:r>
      <w:r>
        <w:t xml:space="preserve"> </w:t>
      </w:r>
      <w:r>
        <w:rPr>
          <w:b/>
          <w:bCs/>
        </w:rPr>
        <w:t xml:space="preserve">Shyware SDK Compliance Guide</w:t>
      </w:r>
      <w:r>
        <w:t xml:space="preserve"> </w:t>
      </w:r>
      <w:r>
        <w:t xml:space="preserve">(</w:t>
      </w:r>
      <w:r>
        <w:rPr>
          <w:rStyle w:val="VerbatimChar"/>
        </w:rPr>
        <w:t xml:space="preserve">patent/mainhub/dpia/source/COMPLIANCE_GUIDE.tex</w:t>
      </w:r>
      <w:r>
        <w:t xml:space="preserve">; published at</w:t>
      </w:r>
      <w:r>
        <w:t xml:space="preserve"> </w:t>
      </w:r>
      <w:r>
        <w:rPr>
          <w:rStyle w:val="VerbatimChar"/>
        </w:rPr>
        <w:t xml:space="preserve">https://shyware.fyi/legal</w:t>
      </w:r>
      <w:r>
        <w:t xml:space="preserve">). Key operator obligations:</w:t>
      </w:r>
    </w:p>
    <w:p>
      <w:pPr>
        <w:numPr>
          <w:ilvl w:val="0"/>
          <w:numId w:val="1001"/>
        </w:numPr>
      </w:pPr>
      <w:r>
        <w:rPr>
          <w:b/>
          <w:bCs/>
        </w:rPr>
        <w:t xml:space="preserve">Art. 6 lawfulness basis</w:t>
      </w:r>
      <w:r>
        <w:t xml:space="preserve"> </w:t>
      </w:r>
      <w:r>
        <w:t xml:space="preserve">— Identify and document the legal basis for each processing purpose before production. Template in Compliance Guide §Operator Obligations.</w:t>
      </w:r>
    </w:p>
    <w:p>
      <w:pPr>
        <w:numPr>
          <w:ilvl w:val="0"/>
          <w:numId w:val="1001"/>
        </w:numPr>
      </w:pPr>
      <w:r>
        <w:rPr>
          <w:b/>
          <w:bCs/>
        </w:rPr>
        <w:t xml:space="preserve">Art. 28 sub-processor DPAs</w:t>
      </w:r>
      <w:r>
        <w:t xml:space="preserve"> </w:t>
      </w:r>
      <w:r>
        <w:t xml:space="preserve">— Execute signed DPAs with all subprocessors listed in the generated Records of Processing (</w:t>
      </w:r>
      <w:r>
        <w:rPr>
          <w:rStyle w:val="VerbatimChar"/>
        </w:rPr>
        <w:t xml:space="preserve">node scripts/generate-rop.mjs --config shyconfig.json</w:t>
      </w:r>
      <w:r>
        <w:t xml:space="preserve">).</w:t>
      </w:r>
    </w:p>
    <w:p>
      <w:pPr>
        <w:numPr>
          <w:ilvl w:val="0"/>
          <w:numId w:val="1001"/>
        </w:numPr>
      </w:pPr>
      <w:r>
        <w:rPr>
          <w:b/>
          <w:bCs/>
        </w:rPr>
        <w:t xml:space="preserve">Art. 30 Records of Processing</w:t>
      </w:r>
      <w:r>
        <w:t xml:space="preserve"> </w:t>
      </w:r>
      <w:r>
        <w:t xml:space="preserve">— Generate from shyconfig using</w:t>
      </w:r>
      <w:r>
        <w:t xml:space="preserve"> </w:t>
      </w:r>
      <w:r>
        <w:rPr>
          <w:rStyle w:val="VerbatimChar"/>
        </w:rPr>
        <w:t xml:space="preserve">generate-rop.mjs</w:t>
      </w:r>
      <w:r>
        <w:t xml:space="preserve">; complete all</w:t>
      </w:r>
      <w:r>
        <w:t xml:space="preserve"> </w:t>
      </w:r>
      <w:r>
        <w:rPr>
          <w:rStyle w:val="VerbatimChar"/>
        </w:rPr>
        <w:t xml:space="preserve">REQUIRED_OPERATOR_INPUT</w:t>
      </w:r>
      <w:r>
        <w:t xml:space="preserve"> </w:t>
      </w:r>
      <w:r>
        <w:t xml:space="preserve">fields; maintain under Art. 30(1).</w:t>
      </w:r>
    </w:p>
    <w:p>
      <w:pPr>
        <w:numPr>
          <w:ilvl w:val="0"/>
          <w:numId w:val="1001"/>
        </w:numPr>
      </w:pPr>
      <w:r>
        <w:rPr>
          <w:b/>
          <w:bCs/>
        </w:rPr>
        <w:t xml:space="preserve">Storage limitation (Art. 5(1)(e))</w:t>
      </w:r>
      <w:r>
        <w:t xml:space="preserve"> </w:t>
      </w:r>
      <w:r>
        <w:t xml:space="preserve">— Add</w:t>
      </w:r>
      <w:r>
        <w:t xml:space="preserve"> </w:t>
      </w:r>
      <w:r>
        <w:rPr>
          <w:rStyle w:val="VerbatimChar"/>
        </w:rPr>
        <w:t xml:space="preserve">retention</w:t>
      </w:r>
      <w:r>
        <w:t xml:space="preserve"> </w:t>
      </w:r>
      <w:r>
        <w:t xml:space="preserve">block to shyconfig.json; configure and operationally enforce the</w:t>
      </w:r>
      <w:r>
        <w:t xml:space="preserve"> </w:t>
      </w:r>
      <w:r>
        <w:rPr>
          <w:rStyle w:val="VerbatimChar"/>
        </w:rPr>
        <w:t xml:space="preserve">deletion_cron</w:t>
      </w:r>
      <w:r>
        <w:t xml:space="preserve"> </w:t>
      </w:r>
      <w:r>
        <w:t xml:space="preserve">schedule.</w:t>
      </w:r>
    </w:p>
    <w:p>
      <w:pPr>
        <w:numPr>
          <w:ilvl w:val="0"/>
          <w:numId w:val="1001"/>
        </w:numPr>
      </w:pPr>
      <w:r>
        <w:rPr>
          <w:b/>
          <w:bCs/>
        </w:rPr>
        <w:t xml:space="preserve">Three-authority key independence</w:t>
      </w:r>
      <w:r>
        <w:t xml:space="preserve"> </w:t>
      </w:r>
      <w:r>
        <w:t xml:space="preserve">— Verify at scoping-identifier creation that eligibility_authority_key</w:t>
      </w:r>
      <w:r>
        <w:t xml:space="preserve"> </w:t>
      </w:r>
      <m:oMath>
        <m:r>
          <m:rPr>
            <m:sty m:val="p"/>
          </m:rPr>
          <m:t>≠</m:t>
        </m:r>
      </m:oMath>
      <w:r>
        <w:t xml:space="preserve"> </w:t>
      </w:r>
      <w:r>
        <w:t xml:space="preserve">reconciling_authority_key</w:t>
      </w:r>
      <w:r>
        <w:t xml:space="preserve"> </w:t>
      </w:r>
      <m:oMath>
        <m:r>
          <m:rPr>
            <m:sty m:val="p"/>
          </m:rPr>
          <m:t>≠</m:t>
        </m:r>
      </m:oMath>
      <w:r>
        <w:t xml:space="preserve"> </w:t>
      </w:r>
      <w:r>
        <w:t xml:space="preserve">auth_key.</w:t>
      </w:r>
    </w:p>
    <w:p>
      <w:pPr>
        <w:numPr>
          <w:ilvl w:val="0"/>
          <w:numId w:val="1001"/>
        </w:numPr>
      </w:pPr>
      <w:r>
        <w:rPr>
          <w:b/>
          <w:bCs/>
        </w:rPr>
        <w:t xml:space="preserve">Quarterly independent audit</w:t>
      </w:r>
      <w:r>
        <w:t xml:space="preserve"> </w:t>
      </w:r>
      <w:r>
        <w:t xml:space="preserve">— Engage an independent auditor to verify three-authority operational separation before production.</w:t>
      </w:r>
    </w:p>
    <w:bookmarkEnd w:id="31"/>
    <w:bookmarkEnd w:id="32"/>
    <w:bookmarkStart w:id="33" w:name="residual-risk-scytale-chat"/>
    <w:p>
      <w:pPr>
        <w:numPr>
          <w:ilvl w:val="1"/>
          <w:numId w:val="1002"/>
        </w:numPr>
        <w:pStyle w:val="Heading3"/>
      </w:pPr>
      <w:r>
        <w:t xml:space="preserve">Residual Risk Assessment</w:t>
      </w:r>
    </w:p>
    <w:p>
      <w:pPr>
        <w:pStyle w:val="FirstParagraph"/>
      </w:pPr>
      <w:r>
        <w:t xml:space="preserve">The residual scores below assume the core Shyware twin-kernel controls are implemented and evidence-linked. The software evidence for the core kernel may be complete while message content, metadata, endpoint notification, legal hold, lawful-access, or account-recovery choices still need to be fixed for this domain. These scores describe residual domain risk after validation; they do not say the kernel tests were missing.</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2527"/>
        <w:gridCol w:w="3370"/>
        <w:gridCol w:w="749"/>
        <w:gridCol w:w="749"/>
        <w:gridCol w:w="749"/>
        <w:gridCol w:w="1217"/>
      </w:tblGrid>
      <w:tr>
        <w:trPr>
          <w:tblHeader w:val="on"/>
        </w:trPr>
        <w:tc>
          <w:tcPr>
            <w:tcW w:type="pct" w:w="13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Risk</w:t>
            </w:r>
          </w:p>
        </w:tc>
        <w:tc>
          <w:tcPr>
            <w:tcW w:type="pct" w:w="18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Additional Measures Applied</w:t>
            </w:r>
          </w:p>
        </w:tc>
        <w:tc>
          <w:tcPr>
            <w:tcW w:type="pct" w:w="4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Residual Likelihood</w:t>
            </w:r>
          </w:p>
        </w:tc>
        <w:tc>
          <w:tcPr>
            <w:tcW w:type="pct" w:w="4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Residual Severity</w:t>
            </w:r>
          </w:p>
        </w:tc>
        <w:tc>
          <w:tcPr>
            <w:tcW w:type="pct" w:w="4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Residual Level</w:t>
            </w:r>
          </w:p>
        </w:tc>
        <w:tc>
          <w:tcPr>
            <w:tcW w:type="pct" w:w="6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Acceptable?</w:t>
            </w:r>
          </w:p>
        </w:tc>
      </w:tr>
      <w:tr>
        <w:tc>
          <w:tcPr>
            <w:tcW w:type="pct" w:w="1350"/>
            <w:tcBorders>
              <w:top w:val="single" w:sz="8" w:space="0" w:color="000000"/>
              <w:left w:val="single" w:sz="8" w:space="0" w:color="000000"/>
              <w:bottom w:val="single" w:sz="8" w:space="0" w:color="000000"/>
              <w:right w:val="single" w:sz="8" w:space="0" w:color="000000"/>
            </w:tcBorders>
          </w:tcPr>
          <w:p>
            <w:pPr>
              <w:pStyle w:val="Compact"/>
              <w:jc w:val="left"/>
            </w:pPr>
            <w:r>
              <w:t xml:space="preserve">Message content exposure</w:t>
            </w:r>
          </w:p>
        </w:tc>
        <w:tc>
          <w:tcPr>
            <w:tcW w:type="pct" w:w="1800"/>
            <w:tcBorders>
              <w:top w:val="single" w:sz="8" w:space="0" w:color="000000"/>
              <w:left w:val="single" w:sz="8" w:space="0" w:color="000000"/>
              <w:bottom w:val="single" w:sz="8" w:space="0" w:color="000000"/>
              <w:right w:val="single" w:sz="8" w:space="0" w:color="000000"/>
            </w:tcBorders>
          </w:tcPr>
          <w:p>
            <w:pPr>
              <w:pStyle w:val="Compact"/>
              <w:jc w:val="left"/>
            </w:pPr>
            <w:r>
              <w:t xml:space="preserve">End-to-end or payload sealing, retention limits, and access controls</w:t>
            </w:r>
          </w:p>
        </w:tc>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2</w:t>
            </w:r>
          </w:p>
        </w:tc>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4</w:t>
            </w:r>
          </w:p>
        </w:tc>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8</w:t>
            </w:r>
          </w:p>
        </w:tc>
        <w:tc>
          <w:tcPr>
            <w:tcW w:type="pct" w:w="650"/>
            <w:tcBorders>
              <w:top w:val="single" w:sz="8" w:space="0" w:color="000000"/>
              <w:left w:val="single" w:sz="8" w:space="0" w:color="000000"/>
              <w:bottom w:val="single" w:sz="8" w:space="0" w:color="000000"/>
              <w:right w:val="single" w:sz="8" w:space="0" w:color="000000"/>
            </w:tcBorders>
          </w:tcPr>
          <w:p>
            <w:pPr>
              <w:pStyle w:val="Compact"/>
              <w:jc w:val="left"/>
            </w:pPr>
            <w:r>
              <w:t xml:space="preserve">Requires message confidentiality posture</w:t>
            </w:r>
          </w:p>
        </w:tc>
      </w:tr>
      <w:tr>
        <w:tc>
          <w:tcPr>
            <w:tcW w:type="pct" w:w="1350"/>
            <w:tcBorders>
              <w:top w:val="single" w:sz="8" w:space="0" w:color="000000"/>
              <w:left w:val="single" w:sz="8" w:space="0" w:color="000000"/>
              <w:bottom w:val="single" w:sz="8" w:space="0" w:color="000000"/>
              <w:right w:val="single" w:sz="8" w:space="0" w:color="000000"/>
            </w:tcBorders>
          </w:tcPr>
          <w:p>
            <w:pPr>
              <w:pStyle w:val="Compact"/>
              <w:jc w:val="left"/>
            </w:pPr>
            <w:r>
              <w:t xml:space="preserve">Sender/recipient metadata linkage</w:t>
            </w:r>
          </w:p>
        </w:tc>
        <w:tc>
          <w:tcPr>
            <w:tcW w:type="pct" w:w="1800"/>
            <w:tcBorders>
              <w:top w:val="single" w:sz="8" w:space="0" w:color="000000"/>
              <w:left w:val="single" w:sz="8" w:space="0" w:color="000000"/>
              <w:bottom w:val="single" w:sz="8" w:space="0" w:color="000000"/>
              <w:right w:val="single" w:sz="8" w:space="0" w:color="000000"/>
            </w:tcBorders>
          </w:tcPr>
          <w:p>
            <w:pPr>
              <w:pStyle w:val="Compact"/>
              <w:jc w:val="left"/>
            </w:pPr>
            <w:r>
              <w:t xml:space="preserve">Metadata minimization, provider partitioning, and retention limits</w:t>
            </w:r>
          </w:p>
        </w:tc>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2</w:t>
            </w:r>
          </w:p>
        </w:tc>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3</w:t>
            </w:r>
          </w:p>
        </w:tc>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6</w:t>
            </w:r>
          </w:p>
        </w:tc>
        <w:tc>
          <w:tcPr>
            <w:tcW w:type="pct" w:w="650"/>
            <w:tcBorders>
              <w:top w:val="single" w:sz="8" w:space="0" w:color="000000"/>
              <w:left w:val="single" w:sz="8" w:space="0" w:color="000000"/>
              <w:bottom w:val="single" w:sz="8" w:space="0" w:color="000000"/>
              <w:right w:val="single" w:sz="8" w:space="0" w:color="000000"/>
            </w:tcBorders>
          </w:tcPr>
          <w:p>
            <w:pPr>
              <w:pStyle w:val="Compact"/>
              <w:jc w:val="left"/>
            </w:pPr>
            <w:r>
              <w:t xml:space="preserve">Requires metadata model</w:t>
            </w:r>
          </w:p>
        </w:tc>
      </w:tr>
      <w:tr>
        <w:tc>
          <w:tcPr>
            <w:tcW w:type="pct" w:w="1350"/>
            <w:tcBorders>
              <w:top w:val="single" w:sz="8" w:space="0" w:color="000000"/>
              <w:left w:val="single" w:sz="8" w:space="0" w:color="000000"/>
              <w:bottom w:val="single" w:sz="8" w:space="0" w:color="000000"/>
              <w:right w:val="single" w:sz="8" w:space="0" w:color="000000"/>
            </w:tcBorders>
          </w:tcPr>
          <w:p>
            <w:pPr>
              <w:pStyle w:val="Compact"/>
              <w:jc w:val="left"/>
            </w:pPr>
            <w:r>
              <w:t xml:space="preserve">Endpoint or notification leakage</w:t>
            </w:r>
          </w:p>
        </w:tc>
        <w:tc>
          <w:tcPr>
            <w:tcW w:type="pct" w:w="1800"/>
            <w:tcBorders>
              <w:top w:val="single" w:sz="8" w:space="0" w:color="000000"/>
              <w:left w:val="single" w:sz="8" w:space="0" w:color="000000"/>
              <w:bottom w:val="single" w:sz="8" w:space="0" w:color="000000"/>
              <w:right w:val="single" w:sz="8" w:space="0" w:color="000000"/>
            </w:tcBorders>
          </w:tcPr>
          <w:p>
            <w:pPr>
              <w:pStyle w:val="Compact"/>
              <w:jc w:val="left"/>
            </w:pPr>
            <w:r>
              <w:t xml:space="preserve">Local controls, notification minimization, and support-export restrictions</w:t>
            </w:r>
          </w:p>
        </w:tc>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2</w:t>
            </w:r>
          </w:p>
        </w:tc>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3</w:t>
            </w:r>
          </w:p>
        </w:tc>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6</w:t>
            </w:r>
          </w:p>
        </w:tc>
        <w:tc>
          <w:tcPr>
            <w:tcW w:type="pct" w:w="650"/>
            <w:tcBorders>
              <w:top w:val="single" w:sz="8" w:space="0" w:color="000000"/>
              <w:left w:val="single" w:sz="8" w:space="0" w:color="000000"/>
              <w:bottom w:val="single" w:sz="8" w:space="0" w:color="000000"/>
              <w:right w:val="single" w:sz="8" w:space="0" w:color="000000"/>
            </w:tcBorders>
          </w:tcPr>
          <w:p>
            <w:pPr>
              <w:pStyle w:val="Compact"/>
              <w:jc w:val="left"/>
            </w:pPr>
            <w:r>
              <w:t xml:space="preserve">Requires endpoint controls</w:t>
            </w:r>
          </w:p>
        </w:tc>
      </w:tr>
      <w:tr>
        <w:tc>
          <w:tcPr>
            <w:tcW w:type="pct" w:w="1350"/>
            <w:tcBorders>
              <w:top w:val="single" w:sz="8" w:space="0" w:color="000000"/>
              <w:left w:val="single" w:sz="8" w:space="0" w:color="000000"/>
              <w:bottom w:val="single" w:sz="8" w:space="0" w:color="000000"/>
              <w:right w:val="single" w:sz="8" w:space="0" w:color="000000"/>
            </w:tcBorders>
          </w:tcPr>
          <w:p>
            <w:pPr>
              <w:pStyle w:val="Compact"/>
              <w:jc w:val="left"/>
            </w:pPr>
            <w:r>
              <w:t xml:space="preserve">Lawful access or legal hold overreach</w:t>
            </w:r>
          </w:p>
        </w:tc>
        <w:tc>
          <w:tcPr>
            <w:tcW w:type="pct" w:w="1800"/>
            <w:tcBorders>
              <w:top w:val="single" w:sz="8" w:space="0" w:color="000000"/>
              <w:left w:val="single" w:sz="8" w:space="0" w:color="000000"/>
              <w:bottom w:val="single" w:sz="8" w:space="0" w:color="000000"/>
              <w:right w:val="single" w:sz="8" w:space="0" w:color="000000"/>
            </w:tcBorders>
          </w:tcPr>
          <w:p>
            <w:pPr>
              <w:pStyle w:val="Compact"/>
              <w:jc w:val="left"/>
            </w:pPr>
            <w:r>
              <w:t xml:space="preserve">Legal process policy, audit logs, and dual-control reveal</w:t>
            </w:r>
          </w:p>
        </w:tc>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2</w:t>
            </w:r>
          </w:p>
        </w:tc>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3</w:t>
            </w:r>
          </w:p>
        </w:tc>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6</w:t>
            </w:r>
          </w:p>
        </w:tc>
        <w:tc>
          <w:tcPr>
            <w:tcW w:type="pct" w:w="650"/>
            <w:tcBorders>
              <w:top w:val="single" w:sz="8" w:space="0" w:color="000000"/>
              <w:left w:val="single" w:sz="8" w:space="0" w:color="000000"/>
              <w:bottom w:val="single" w:sz="8" w:space="0" w:color="000000"/>
              <w:right w:val="single" w:sz="8" w:space="0" w:color="000000"/>
            </w:tcBorders>
          </w:tcPr>
          <w:p>
            <w:pPr>
              <w:pStyle w:val="Compact"/>
              <w:jc w:val="left"/>
            </w:pPr>
            <w:r>
              <w:t xml:space="preserve">Requires lawful-access workflow</w:t>
            </w:r>
          </w:p>
        </w:tc>
      </w:tr>
      <w:tr>
        <w:tc>
          <w:tcPr>
            <w:tcW w:type="pct" w:w="1350"/>
            <w:tcBorders>
              <w:top w:val="single" w:sz="8" w:space="0" w:color="000000"/>
              <w:left w:val="single" w:sz="8" w:space="0" w:color="000000"/>
              <w:bottom w:val="single" w:sz="8" w:space="0" w:color="000000"/>
              <w:right w:val="single" w:sz="8" w:space="0" w:color="000000"/>
            </w:tcBorders>
          </w:tcPr>
          <w:p>
            <w:pPr>
              <w:pStyle w:val="Compact"/>
              <w:jc w:val="left"/>
            </w:pPr>
            <w:r>
              <w:t xml:space="preserve">Provider consolidation</w:t>
            </w:r>
          </w:p>
        </w:tc>
        <w:tc>
          <w:tcPr>
            <w:tcW w:type="pct" w:w="1800"/>
            <w:tcBorders>
              <w:top w:val="single" w:sz="8" w:space="0" w:color="000000"/>
              <w:left w:val="single" w:sz="8" w:space="0" w:color="000000"/>
              <w:bottom w:val="single" w:sz="8" w:space="0" w:color="000000"/>
              <w:right w:val="single" w:sz="8" w:space="0" w:color="000000"/>
            </w:tcBorders>
          </w:tcPr>
          <w:p>
            <w:pPr>
              <w:pStyle w:val="Compact"/>
              <w:jc w:val="left"/>
            </w:pPr>
            <w:r>
              <w:t xml:space="preserve">Provider matrix for auth, transport, linkage, reconcile, commit, and telemetry roles</w:t>
            </w:r>
          </w:p>
        </w:tc>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1</w:t>
            </w:r>
          </w:p>
        </w:tc>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4</w:t>
            </w:r>
          </w:p>
        </w:tc>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4</w:t>
            </w:r>
          </w:p>
        </w:tc>
        <w:tc>
          <w:tcPr>
            <w:tcW w:type="pct" w:w="650"/>
            <w:tcBorders>
              <w:top w:val="single" w:sz="8" w:space="0" w:color="000000"/>
              <w:left w:val="single" w:sz="8" w:space="0" w:color="000000"/>
              <w:bottom w:val="single" w:sz="8" w:space="0" w:color="000000"/>
              <w:right w:val="single" w:sz="8" w:space="0" w:color="000000"/>
            </w:tcBorders>
          </w:tcPr>
          <w:p>
            <w:pPr>
              <w:pStyle w:val="Compact"/>
              <w:jc w:val="left"/>
            </w:pPr>
            <w:r>
              <w:t xml:space="preserve">Yes only where no ordinary single provider can reconstruct linkage alone</w:t>
            </w:r>
          </w:p>
        </w:tc>
      </w:tr>
    </w:tbl>
    <w:bookmarkEnd w:id="33"/>
    <w:bookmarkEnd w:id="34"/>
    <w:bookmarkStart w:id="35" w:name="interested-parties-scytale-chat"/>
    <w:p>
      <w:pPr>
        <w:numPr>
          <w:ilvl w:val="0"/>
          <w:numId w:val="1002"/>
        </w:numPr>
        <w:pStyle w:val="Heading2"/>
      </w:pPr>
      <w:r>
        <w:t xml:space="preserve">INVOLVEMENT OF INTERESTED PARTIES</w:t>
      </w:r>
    </w:p>
    <w:p>
      <w:pPr>
        <w:pStyle w:val="FirstParagraph"/>
      </w:pPr>
      <w:r>
        <w:t xml:space="preserve">Privacy counsel, security, abuse/moderation stakeholders, support, and customer DPO teams should review this DPIA before production. Data subject consultation may be appropriate where communications involve children, employees, sensitive communities, or high-risk lawful-access contexts.</w:t>
      </w:r>
    </w:p>
    <w:bookmarkEnd w:id="35"/>
    <w:bookmarkStart w:id="36" w:name="conclusion-scytale-chat"/>
    <w:p>
      <w:pPr>
        <w:numPr>
          <w:ilvl w:val="0"/>
          <w:numId w:val="1002"/>
        </w:numPr>
        <w:pStyle w:val="Heading2"/>
      </w:pPr>
      <w:r>
        <w:t xml:space="preserve">CONCLUSION AND DECISION</w:t>
      </w:r>
    </w:p>
    <w:p>
      <w:pPr>
        <w:pStyle w:val="FirstParagraph"/>
      </w:pPr>
      <w:r>
        <w:rPr>
          <w:b/>
          <w:bCs/>
        </w:rPr>
        <w:t xml:space="preserve">Draft decision:</w:t>
      </w:r>
      <w:r>
        <w:t xml:space="preserve"> </w:t>
      </w:r>
      <w:r>
        <w:t xml:space="preserve">Separate DPIA required before production communications launch. Expand after authentication, sealing, metadata retention, and lawful-access posture are fixed.</w:t>
      </w:r>
    </w:p>
    <w:bookmarkEnd w:id="36"/>
    <w:sectPr w:rsidR="0042614C" w:rsidSect="004E12AC">
      <w:footerReference r:id="rId8" w:type="default"/>
      <w:headerReference r:id="rId9" w:type="first"/>
      <w:pgSz w:h="16838" w:w="11906"/>
      <w:pgMar w:bottom="1440" w:footer="737" w:gutter="0" w:header="360" w:left="1440" w:right="1440" w:top="1440"/>
      <w:pgNumType w:start="2"/>
      <w:cols w:space="708"/>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5263369"/>
      <w:docPartObj>
        <w:docPartGallery w:val="Page Numbers (Bottom of Page)"/>
        <w:docPartUnique/>
      </w:docPartObj>
    </w:sdtPr>
    <w:sdtEndPr/>
    <w:sdtContent>
      <w:p w14:paraId="72363A71" w14:textId="7410E4AE" w:rsidR="00595B8E" w:rsidRDefault="00595B8E" w:rsidP="00E41CC7">
        <w:pPr>
          <w:pStyle w:val="FooterEDPB"/>
        </w:pPr>
        <w:r w:rsidRPr="004722AF">
          <w:rPr>
            <w:rStyle w:val="FooterEDPBChar"/>
            <w:noProof/>
            <w:lang w:eastAsia="en-GB"/>
          </w:rPr>
          <w:drawing>
            <wp:anchor distT="0" distB="0" distL="114300" distR="114300" simplePos="0" relativeHeight="251656704" behindDoc="0" locked="0" layoutInCell="1" allowOverlap="1" wp14:anchorId="260A661A" wp14:editId="77FBAFAF">
              <wp:simplePos x="0" y="0"/>
              <wp:positionH relativeFrom="column">
                <wp:posOffset>3943020</wp:posOffset>
              </wp:positionH>
              <wp:positionV relativeFrom="paragraph">
                <wp:posOffset>39708</wp:posOffset>
              </wp:positionV>
              <wp:extent cx="2255844" cy="137424"/>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European-Data-Protection-Board.png"/>
                      <pic:cNvPicPr/>
                    </pic:nvPicPr>
                    <pic:blipFill rotWithShape="1">
                      <a:blip r:embed="rId1">
                        <a:extLst>
                          <a:ext uri="{28A0092B-C50C-407E-A947-70E740481C1C}">
                            <a14:useLocalDpi xmlns:a14="http://schemas.microsoft.com/office/drawing/2010/main" val="0"/>
                          </a:ext>
                        </a:extLst>
                      </a:blip>
                      <a:srcRect t="22364" b="12716"/>
                      <a:stretch/>
                    </pic:blipFill>
                    <pic:spPr bwMode="auto">
                      <a:xfrm>
                        <a:off x="0" y="0"/>
                        <a:ext cx="2266195" cy="1380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4722AF">
          <w:rPr>
            <w:rStyle w:val="FooterEDPBChar"/>
          </w:rPr>
          <w:fldChar w:fldCharType="begin"/>
        </w:r>
        <w:r w:rsidRPr="004722AF">
          <w:rPr>
            <w:rStyle w:val="FooterEDPBChar"/>
          </w:rPr>
          <w:instrText xml:space="preserve"> PAGE   \* MERGEFORMAT </w:instrText>
        </w:r>
        <w:r w:rsidRPr="004722AF">
          <w:rPr>
            <w:rStyle w:val="FooterEDPBChar"/>
          </w:rPr>
          <w:fldChar w:fldCharType="separate"/>
        </w:r>
        <w:r w:rsidR="004E12AC">
          <w:rPr>
            <w:rStyle w:val="FooterEDPBChar"/>
            <w:noProof/>
          </w:rPr>
          <w:t>14</w:t>
        </w:r>
        <w:r w:rsidRPr="004722AF">
          <w:rPr>
            <w:rStyle w:val="FooterEDPBChar"/>
          </w:rPr>
          <w:fldChar w:fldCharType="end"/>
        </w:r>
        <w:r w:rsidRPr="004722AF">
          <w:rPr>
            <w:rStyle w:val="FooterEDPBChar"/>
          </w:rPr>
          <w:t xml:space="preserve"> |</w:t>
        </w:r>
        <w:r w:rsidR="001C2895">
          <w:rPr>
            <w:rStyle w:val="FooterEDPBChar"/>
          </w:rPr>
          <w:t xml:space="preserve"> Adopted</w:t>
        </w:r>
        <w:r w:rsidRPr="004722AF">
          <w:rPr>
            <w:rStyle w:val="FooterEDPBChar"/>
          </w:rPr>
          <w:t xml:space="preserve"> </w:t>
        </w:r>
      </w:p>
    </w:sdtContent>
  </w:sdt>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r="http://schemas.openxmlformats.org/officeDocument/2006/relationships" xmlns:wp="http://schemas.openxmlformats.org/drawingml/2006/wordprocessingDrawing" xmlns:wp14="http://schemas.microsoft.com/office/word/2010/wordprocessingDrawing" xmlns:w="http://schemas.openxmlformats.org/wordprocessingml/2006/main" xmlns:w14="http://schemas.microsoft.com/office/word/2010/wordml" xmlns:wps="http://schemas.microsoft.com/office/word/2010/wordprocessingShape" xmlns:a="http://schemas.openxmlformats.org/drawingml/2006/main" mc:Ignorable="w14 wp14">
  <w:p>
    <w:pPr>
      <w:pStyle w:val="Header"/>
      <w:jc w:val="right"/>
      <w:spacing w:before="60" w:after="60"/>
    </w:pPr>
    <w:r>
      <w:rPr>
        <w:noProof/>
      </w:rPr>
      <w:drawing>
        <wp:anchor distT="0" distB="0" distL="0" distR="0" simplePos="0" relativeHeight="251660800" behindDoc="1" locked="1" layoutInCell="1" allowOverlap="0" wp14:anchorId="0F49D875" wp14:editId="1F01C477">
          <wp:simplePos x="0" y="0"/>
          <wp:positionH relativeFrom="page">
            <wp:align>left</wp:align>
          </wp:positionH>
          <wp:positionV relativeFrom="page">
            <wp:align>top</wp:align>
          </wp:positionV>
          <wp:extent cx="7552055" cy="975360"/>
          <wp:effectExtent l="0" t="0" r="0" b="0"/>
          <wp:wrapNone/>
          <wp:docPr id="4" name="HeaderBar"/>
          <wp:cNvGraphicFramePr/>
          <a:graphic>
            <a:graphicData uri="http://schemas.microsoft.com/office/word/2010/wordprocessingShape">
              <wps:wsp>
                <wps:cNvSpPr>
                  <a:spLocks noChangeArrowheads="1"/>
                </wps:cNvSpPr>
                <wps:spPr>
                  <a:xfrm>
                    <a:off x="0" y="0"/>
                    <a:ext cx="7552055" cy="975360"/>
                  </a:xfrm>
                  <a:prstGeom prst="rect">
                    <a:avLst/>
                  </a:prstGeom>
                  <a:solidFill>
                    <a:srgbClr val="CCFF66"/>
                  </a:solidFill>
                  <a:ln>
                    <a:noFill/>
                  </a:ln>
                </wps:spPr>
                <wps:bodyPr/>
              </wps:wsp>
            </a:graphicData>
          </a:graphic>
        </wp:anchor>
      </w:drawing>
    </w:r>
    <w:r>
      <w:rPr>
        <w:rFonts w:ascii="Glory" w:hAnsi="Glory" w:cs="Glory"/>
        <w:b/>
        <w:color w:val="0F172A"/>
        <w:sz w:val="14"/>
        <w:szCs w:val="14"/>
      </w:rPr>
      <w:t xml:space="preserve">co-mission — Shyware Domain DPIA</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527542"/>
    <w:multiLevelType w:val="hybridMultilevel"/>
    <w:tmpl w:val="356E4B16"/>
    <w:lvl w:ilvl="0" w:tplc="0332DB7E">
      <w:start w:val="1"/>
      <w:numFmt w:val="decimal"/>
      <w:pStyle w:val="Listofnumbers-EDPB"/>
      <w:lvlText w:val="%1"/>
      <w:lvlJc w:val="left"/>
      <w:pPr>
        <w:ind w:hanging="360" w:left="720"/>
      </w:pPr>
      <w:rPr>
        <w:rFonts w:ascii="Arial" w:cs="Calibri" w:hAnsi="Arial" w:hint="default"/>
        <w:b w:val="0"/>
        <w:bCs w:val="0"/>
        <w:i w:val="0"/>
        <w:iCs w:val="0"/>
        <w:caps w:val="0"/>
        <w:strike w:val="0"/>
        <w:dstrike w:val="0"/>
        <w:outline w:val="0"/>
        <w:shadow w:val="0"/>
        <w:emboss w:val="0"/>
        <w:imprint w:val="0"/>
        <w:vanish w:val="0"/>
        <w:color w:themeColor="text1" w:val="000000"/>
        <w:spacing w:val="0"/>
        <w:kern w:val="0"/>
        <w:position w:val="0"/>
        <w:sz w:val="22"/>
        <w:szCs w:val="22"/>
        <w:u w:val="none"/>
        <w:effect w:val="none"/>
        <w:vertAlign w:val="baseline"/>
        <w14:ligatures w14:val="none"/>
        <w14:numForm w14:val="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
    <w:nsid w:val="023A14D8"/>
    <w:multiLevelType w:val="hybridMultilevel"/>
    <w:tmpl w:val="A950F1F4"/>
    <w:lvl w:ilvl="0" w:tplc="08090003">
      <w:start w:val="1"/>
      <w:numFmt w:val="bullet"/>
      <w:lvlText w:val="o"/>
      <w:lvlJc w:val="left"/>
      <w:pPr>
        <w:ind w:hanging="360" w:left="720"/>
      </w:pPr>
      <w:rPr>
        <w:rFonts w:ascii="Courier New" w:cs="Courier New" w:hAnsi="Courier New"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
    <w:nsid w:val="0E0224D6"/>
    <w:multiLevelType w:val="multilevel"/>
    <w:tmpl w:val="C70EEC7E"/>
    <w:lvl w:ilvl="0">
      <w:numFmt w:val="decimal"/>
      <w:lvlText w:val="%1"/>
      <w:lvlJc w:val="left"/>
      <w:pPr>
        <w:ind w:hanging="360" w:left="360"/>
      </w:pPr>
      <w:rPr>
        <w:rFonts w:hint="default"/>
      </w:rPr>
    </w:lvl>
    <w:lvl w:ilvl="1">
      <w:start w:val="3"/>
      <w:numFmt w:val="decimal"/>
      <w:lvlText w:val="%1.%2"/>
      <w:lvlJc w:val="left"/>
      <w:pPr>
        <w:ind w:hanging="360" w:left="360"/>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720" w:left="72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440" w:left="144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800" w:left="1800"/>
      </w:pPr>
      <w:rPr>
        <w:rFonts w:hint="default"/>
      </w:rPr>
    </w:lvl>
    <w:lvl w:ilvl="8">
      <w:start w:val="1"/>
      <w:numFmt w:val="decimal"/>
      <w:lvlText w:val="%1.%2.%3.%4.%5.%6.%7.%8.%9"/>
      <w:lvlJc w:val="left"/>
      <w:pPr>
        <w:ind w:hanging="1800" w:left="1800"/>
      </w:pPr>
      <w:rPr>
        <w:rFonts w:hint="default"/>
      </w:rPr>
    </w:lvl>
  </w:abstractNum>
  <w:abstractNum w15:restartNumberingAfterBreak="0" w:abstractNumId="3">
    <w:nsid w:val="11ED5838"/>
    <w:multiLevelType w:val="hybridMultilevel"/>
    <w:tmpl w:val="3384B8BE"/>
    <w:lvl w:ilvl="0" w:tplc="08090003">
      <w:start w:val="1"/>
      <w:numFmt w:val="bullet"/>
      <w:lvlText w:val="o"/>
      <w:lvlJc w:val="left"/>
      <w:pPr>
        <w:ind w:hanging="360" w:left="720"/>
      </w:pPr>
      <w:rPr>
        <w:rFonts w:ascii="Courier New" w:cs="Courier New" w:hAnsi="Courier New" w:hint="default"/>
      </w:rPr>
    </w:lvl>
    <w:lvl w:ilvl="1" w:tentative="1" w:tplc="FFFFFFFF">
      <w:start w:val="1"/>
      <w:numFmt w:val="lowerLetter"/>
      <w:lvlText w:val="%2."/>
      <w:lvlJc w:val="left"/>
      <w:pPr>
        <w:ind w:hanging="360" w:left="1440"/>
      </w:pPr>
    </w:lvl>
    <w:lvl w:ilvl="2" w:tentative="1" w:tplc="FFFFFFFF">
      <w:start w:val="1"/>
      <w:numFmt w:val="lowerRoman"/>
      <w:lvlText w:val="%3."/>
      <w:lvlJc w:val="right"/>
      <w:pPr>
        <w:ind w:hanging="180" w:left="2160"/>
      </w:pPr>
    </w:lvl>
    <w:lvl w:ilvl="3" w:tentative="1" w:tplc="FFFFFFFF">
      <w:start w:val="1"/>
      <w:numFmt w:val="decimal"/>
      <w:lvlText w:val="%4."/>
      <w:lvlJc w:val="left"/>
      <w:pPr>
        <w:ind w:hanging="360" w:left="2880"/>
      </w:pPr>
    </w:lvl>
    <w:lvl w:ilvl="4" w:tentative="1" w:tplc="FFFFFFFF">
      <w:start w:val="1"/>
      <w:numFmt w:val="lowerLetter"/>
      <w:lvlText w:val="%5."/>
      <w:lvlJc w:val="left"/>
      <w:pPr>
        <w:ind w:hanging="360" w:left="3600"/>
      </w:pPr>
    </w:lvl>
    <w:lvl w:ilvl="5" w:tentative="1" w:tplc="FFFFFFFF">
      <w:start w:val="1"/>
      <w:numFmt w:val="lowerRoman"/>
      <w:lvlText w:val="%6."/>
      <w:lvlJc w:val="right"/>
      <w:pPr>
        <w:ind w:hanging="180" w:left="4320"/>
      </w:pPr>
    </w:lvl>
    <w:lvl w:ilvl="6" w:tentative="1" w:tplc="FFFFFFFF">
      <w:start w:val="1"/>
      <w:numFmt w:val="decimal"/>
      <w:lvlText w:val="%7."/>
      <w:lvlJc w:val="left"/>
      <w:pPr>
        <w:ind w:hanging="360" w:left="5040"/>
      </w:pPr>
    </w:lvl>
    <w:lvl w:ilvl="7" w:tentative="1" w:tplc="FFFFFFFF">
      <w:start w:val="1"/>
      <w:numFmt w:val="lowerLetter"/>
      <w:lvlText w:val="%8."/>
      <w:lvlJc w:val="left"/>
      <w:pPr>
        <w:ind w:hanging="360" w:left="5760"/>
      </w:pPr>
    </w:lvl>
    <w:lvl w:ilvl="8" w:tentative="1" w:tplc="FFFFFFFF">
      <w:start w:val="1"/>
      <w:numFmt w:val="lowerRoman"/>
      <w:lvlText w:val="%9."/>
      <w:lvlJc w:val="right"/>
      <w:pPr>
        <w:ind w:hanging="180" w:left="6480"/>
      </w:pPr>
    </w:lvl>
  </w:abstractNum>
  <w:abstractNum w15:restartNumberingAfterBreak="0" w:abstractNumId="4">
    <w:nsid w:val="19BD0E53"/>
    <w:multiLevelType w:val="hybridMultilevel"/>
    <w:tmpl w:val="521EAEF8"/>
    <w:lvl w:ilvl="0" w:tplc="08090003">
      <w:start w:val="1"/>
      <w:numFmt w:val="bullet"/>
      <w:lvlText w:val="o"/>
      <w:lvlJc w:val="left"/>
      <w:pPr>
        <w:ind w:hanging="360" w:left="720"/>
      </w:pPr>
      <w:rPr>
        <w:rFonts w:ascii="Courier New" w:cs="Courier New" w:hAnsi="Courier New"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5">
    <w:nsid w:val="2C3816A7"/>
    <w:multiLevelType w:val="hybridMultilevel"/>
    <w:tmpl w:val="0BDAF450"/>
    <w:lvl w:ilvl="0" w:tplc="3B9EB0B4">
      <w:start w:val="1"/>
      <w:numFmt w:val="decimal"/>
      <w:lvlText w:val="%1."/>
      <w:lvlJc w:val="left"/>
      <w:pPr>
        <w:ind w:hanging="360" w:left="360"/>
      </w:pPr>
      <w:rPr>
        <w:rFonts w:hint="default"/>
        <w:b/>
        <w:bCs/>
      </w:rPr>
    </w:lvl>
    <w:lvl w:ilvl="1" w:tentative="1" w:tplc="0C0A0019">
      <w:start w:val="1"/>
      <w:numFmt w:val="lowerLetter"/>
      <w:lvlText w:val="%2."/>
      <w:lvlJc w:val="left"/>
      <w:pPr>
        <w:ind w:hanging="360" w:left="1080"/>
      </w:pPr>
    </w:lvl>
    <w:lvl w:ilvl="2" w:tentative="1" w:tplc="0C0A001B">
      <w:start w:val="1"/>
      <w:numFmt w:val="lowerRoman"/>
      <w:lvlText w:val="%3."/>
      <w:lvlJc w:val="right"/>
      <w:pPr>
        <w:ind w:hanging="180" w:left="1800"/>
      </w:pPr>
    </w:lvl>
    <w:lvl w:ilvl="3" w:tentative="1" w:tplc="0C0A000F">
      <w:start w:val="1"/>
      <w:numFmt w:val="decimal"/>
      <w:lvlText w:val="%4."/>
      <w:lvlJc w:val="left"/>
      <w:pPr>
        <w:ind w:hanging="360" w:left="2520"/>
      </w:pPr>
    </w:lvl>
    <w:lvl w:ilvl="4" w:tentative="1" w:tplc="0C0A0019">
      <w:start w:val="1"/>
      <w:numFmt w:val="lowerLetter"/>
      <w:lvlText w:val="%5."/>
      <w:lvlJc w:val="left"/>
      <w:pPr>
        <w:ind w:hanging="360" w:left="3240"/>
      </w:pPr>
    </w:lvl>
    <w:lvl w:ilvl="5" w:tentative="1" w:tplc="0C0A001B">
      <w:start w:val="1"/>
      <w:numFmt w:val="lowerRoman"/>
      <w:lvlText w:val="%6."/>
      <w:lvlJc w:val="right"/>
      <w:pPr>
        <w:ind w:hanging="180" w:left="3960"/>
      </w:pPr>
    </w:lvl>
    <w:lvl w:ilvl="6" w:tentative="1" w:tplc="0C0A000F">
      <w:start w:val="1"/>
      <w:numFmt w:val="decimal"/>
      <w:lvlText w:val="%7."/>
      <w:lvlJc w:val="left"/>
      <w:pPr>
        <w:ind w:hanging="360" w:left="4680"/>
      </w:pPr>
    </w:lvl>
    <w:lvl w:ilvl="7" w:tentative="1" w:tplc="0C0A0019">
      <w:start w:val="1"/>
      <w:numFmt w:val="lowerLetter"/>
      <w:lvlText w:val="%8."/>
      <w:lvlJc w:val="left"/>
      <w:pPr>
        <w:ind w:hanging="360" w:left="5400"/>
      </w:pPr>
    </w:lvl>
    <w:lvl w:ilvl="8" w:tentative="1" w:tplc="0C0A001B">
      <w:start w:val="1"/>
      <w:numFmt w:val="lowerRoman"/>
      <w:lvlText w:val="%9."/>
      <w:lvlJc w:val="right"/>
      <w:pPr>
        <w:ind w:hanging="180" w:left="6120"/>
      </w:pPr>
    </w:lvl>
  </w:abstractNum>
  <w:abstractNum w15:restartNumberingAfterBreak="0" w:abstractNumId="6">
    <w:nsid w:val="470A105A"/>
    <w:multiLevelType w:val="hybridMultilevel"/>
    <w:tmpl w:val="14B60DA2"/>
    <w:lvl w:ilvl="0" w:tplc="3F54FD6C">
      <w:start w:val="1"/>
      <w:numFmt w:val="decimal"/>
      <w:pStyle w:val="NumberedParagraph"/>
      <w:lvlText w:val="(%1)"/>
      <w:lvlJc w:val="left"/>
      <w:pPr>
        <w:ind w:hanging="360" w:left="360"/>
      </w:pPr>
      <w:rPr>
        <w:rFonts w:ascii="Arial" w:cs="Calibri" w:hAnsi="Arial" w:hint="default"/>
        <w:b w:val="0"/>
        <w:bCs w:val="0"/>
        <w:i w:val="0"/>
        <w:iCs w:val="0"/>
        <w:caps w:val="0"/>
        <w:smallCaps w:val="0"/>
        <w:strike w:val="0"/>
        <w:dstrike w:val="0"/>
        <w:outline w:val="0"/>
        <w:shadow w:val="0"/>
        <w:emboss w:val="0"/>
        <w:imprint w:val="0"/>
        <w:vanish w:val="0"/>
        <w:color w:themeColor="text1" w:val="000000"/>
        <w:spacing w:val="0"/>
        <w:kern w:val="0"/>
        <w:position w:val="0"/>
        <w:sz w:val="24"/>
        <w:szCs w:val="22"/>
        <w:u w:val="none"/>
        <w:effect w:val="none"/>
        <w:vertAlign w:val="baseline"/>
        <w14:ligatures w14:val="none"/>
        <w14:numForm w14:val="default"/>
      </w:rPr>
    </w:lvl>
    <w:lvl w:ilvl="1" w:tplc="250CAAB8">
      <w:numFmt w:val="bullet"/>
      <w:lvlText w:val="-"/>
      <w:lvlJc w:val="left"/>
      <w:pPr>
        <w:ind w:hanging="360" w:left="447"/>
      </w:pPr>
      <w:rPr>
        <w:rFonts w:ascii="Calibri" w:eastAsia="Times New Roman" w:hAnsi="Calibri" w:hint="default"/>
      </w:rPr>
    </w:lvl>
    <w:lvl w:ilvl="2" w:tentative="1" w:tplc="0809001B">
      <w:start w:val="1"/>
      <w:numFmt w:val="lowerRoman"/>
      <w:lvlText w:val="%3."/>
      <w:lvlJc w:val="right"/>
      <w:pPr>
        <w:ind w:hanging="180" w:left="1167"/>
      </w:pPr>
      <w:rPr>
        <w:rFonts w:cs="Times New Roman"/>
      </w:rPr>
    </w:lvl>
    <w:lvl w:ilvl="3" w:tentative="1" w:tplc="0809000F">
      <w:start w:val="1"/>
      <w:numFmt w:val="decimal"/>
      <w:lvlText w:val="%4."/>
      <w:lvlJc w:val="left"/>
      <w:pPr>
        <w:ind w:hanging="360" w:left="1887"/>
      </w:pPr>
      <w:rPr>
        <w:rFonts w:cs="Times New Roman"/>
      </w:rPr>
    </w:lvl>
    <w:lvl w:ilvl="4" w:tplc="08090019">
      <w:start w:val="1"/>
      <w:numFmt w:val="lowerLetter"/>
      <w:lvlText w:val="%5."/>
      <w:lvlJc w:val="left"/>
      <w:pPr>
        <w:ind w:hanging="360" w:left="2607"/>
      </w:pPr>
      <w:rPr>
        <w:rFonts w:cs="Times New Roman"/>
      </w:rPr>
    </w:lvl>
    <w:lvl w:ilvl="5" w:tentative="1" w:tplc="0809001B">
      <w:start w:val="1"/>
      <w:numFmt w:val="lowerRoman"/>
      <w:lvlText w:val="%6."/>
      <w:lvlJc w:val="right"/>
      <w:pPr>
        <w:ind w:hanging="180" w:left="3327"/>
      </w:pPr>
      <w:rPr>
        <w:rFonts w:cs="Times New Roman"/>
      </w:rPr>
    </w:lvl>
    <w:lvl w:ilvl="6" w:tentative="1" w:tplc="0809000F">
      <w:start w:val="1"/>
      <w:numFmt w:val="decimal"/>
      <w:lvlText w:val="%7."/>
      <w:lvlJc w:val="left"/>
      <w:pPr>
        <w:ind w:hanging="360" w:left="4047"/>
      </w:pPr>
      <w:rPr>
        <w:rFonts w:cs="Times New Roman"/>
      </w:rPr>
    </w:lvl>
    <w:lvl w:ilvl="7" w:tentative="1" w:tplc="08090019">
      <w:start w:val="1"/>
      <w:numFmt w:val="lowerLetter"/>
      <w:lvlText w:val="%8."/>
      <w:lvlJc w:val="left"/>
      <w:pPr>
        <w:ind w:hanging="360" w:left="4767"/>
      </w:pPr>
      <w:rPr>
        <w:rFonts w:cs="Times New Roman"/>
      </w:rPr>
    </w:lvl>
    <w:lvl w:ilvl="8" w:tentative="1" w:tplc="0809001B">
      <w:start w:val="1"/>
      <w:numFmt w:val="lowerRoman"/>
      <w:lvlText w:val="%9."/>
      <w:lvlJc w:val="right"/>
      <w:pPr>
        <w:ind w:hanging="180" w:left="5487"/>
      </w:pPr>
      <w:rPr>
        <w:rFonts w:cs="Times New Roman"/>
      </w:rPr>
    </w:lvl>
  </w:abstractNum>
  <w:abstractNum w15:restartNumberingAfterBreak="0" w:abstractNumId="7">
    <w:nsid w:val="4E3B6CDB"/>
    <w:multiLevelType w:val="multilevel"/>
    <w:tmpl w:val="BE0EAF1A"/>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8">
    <w:nsid w:val="57F76DF2"/>
    <w:multiLevelType w:val="hybridMultilevel"/>
    <w:tmpl w:val="AF0497B4"/>
    <w:lvl w:ilvl="0" w:tplc="4E463AC6">
      <w:start w:val="1"/>
      <w:numFmt w:val="bullet"/>
      <w:pStyle w:val="Listbullets-EDPB"/>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9">
    <w:nsid w:val="5E20358E"/>
    <w:multiLevelType w:val="multilevel"/>
    <w:tmpl w:val="723E238C"/>
    <w:lvl w:ilvl="0">
      <w:numFmt w:val="decimal"/>
      <w:lvlText w:val="%1"/>
      <w:lvlJc w:val="left"/>
      <w:pPr>
        <w:ind w:hanging="360" w:left="360"/>
      </w:pPr>
      <w:rPr>
        <w:rFonts w:hint="default"/>
      </w:rPr>
    </w:lvl>
    <w:lvl w:ilvl="1">
      <w:start w:val="1"/>
      <w:numFmt w:val="decimal"/>
      <w:isLgl/>
      <w:lvlText w:val="%1.%2"/>
      <w:lvlJc w:val="left"/>
      <w:pPr>
        <w:ind w:hanging="360" w:left="360"/>
      </w:pPr>
      <w:rPr>
        <w:rFonts w:hint="default"/>
      </w:rPr>
    </w:lvl>
    <w:lvl w:ilvl="2">
      <w:start w:val="1"/>
      <w:numFmt w:val="decimal"/>
      <w:isLgl/>
      <w:lvlText w:val="%1.%2.%3"/>
      <w:lvlJc w:val="left"/>
      <w:pPr>
        <w:ind w:hanging="720" w:left="720"/>
      </w:pPr>
      <w:rPr>
        <w:rFonts w:hint="default"/>
      </w:rPr>
    </w:lvl>
    <w:lvl w:ilvl="3">
      <w:start w:val="1"/>
      <w:numFmt w:val="decimal"/>
      <w:isLgl/>
      <w:lvlText w:val="%1.%2.%3.%4"/>
      <w:lvlJc w:val="left"/>
      <w:pPr>
        <w:ind w:hanging="720" w:left="720"/>
      </w:pPr>
      <w:rPr>
        <w:rFonts w:hint="default"/>
      </w:rPr>
    </w:lvl>
    <w:lvl w:ilvl="4">
      <w:start w:val="1"/>
      <w:numFmt w:val="decimal"/>
      <w:isLgl/>
      <w:lvlText w:val="%1.%2.%3.%4.%5"/>
      <w:lvlJc w:val="left"/>
      <w:pPr>
        <w:ind w:hanging="1080" w:left="1080"/>
      </w:pPr>
      <w:rPr>
        <w:rFonts w:hint="default"/>
      </w:rPr>
    </w:lvl>
    <w:lvl w:ilvl="5">
      <w:start w:val="1"/>
      <w:numFmt w:val="decimal"/>
      <w:isLgl/>
      <w:lvlText w:val="%1.%2.%3.%4.%5.%6"/>
      <w:lvlJc w:val="left"/>
      <w:pPr>
        <w:ind w:hanging="1080" w:left="1080"/>
      </w:pPr>
      <w:rPr>
        <w:rFonts w:hint="default"/>
      </w:rPr>
    </w:lvl>
    <w:lvl w:ilvl="6">
      <w:start w:val="1"/>
      <w:numFmt w:val="decimal"/>
      <w:isLgl/>
      <w:lvlText w:val="%1.%2.%3.%4.%5.%6.%7"/>
      <w:lvlJc w:val="left"/>
      <w:pPr>
        <w:ind w:hanging="1440" w:left="1440"/>
      </w:pPr>
      <w:rPr>
        <w:rFonts w:hint="default"/>
      </w:rPr>
    </w:lvl>
    <w:lvl w:ilvl="7">
      <w:start w:val="1"/>
      <w:numFmt w:val="decimal"/>
      <w:isLgl/>
      <w:lvlText w:val="%1.%2.%3.%4.%5.%6.%7.%8"/>
      <w:lvlJc w:val="left"/>
      <w:pPr>
        <w:ind w:hanging="1440" w:left="1440"/>
      </w:pPr>
      <w:rPr>
        <w:rFonts w:hint="default"/>
      </w:rPr>
    </w:lvl>
    <w:lvl w:ilvl="8">
      <w:start w:val="1"/>
      <w:numFmt w:val="decimal"/>
      <w:isLgl/>
      <w:lvlText w:val="%1.%2.%3.%4.%5.%6.%7.%8.%9"/>
      <w:lvlJc w:val="left"/>
      <w:pPr>
        <w:ind w:hanging="1440" w:left="1440"/>
      </w:pPr>
      <w:rPr>
        <w:rFonts w:hint="default"/>
      </w:rPr>
    </w:lvl>
  </w:abstractNum>
  <w:abstractNum w15:restartNumberingAfterBreak="0" w:abstractNumId="10">
    <w:nsid w:val="64D63807"/>
    <w:multiLevelType w:val="multilevel"/>
    <w:tmpl w:val="8056077E"/>
    <w:lvl w:ilvl="0">
      <w:start w:val="1"/>
      <w:numFmt w:val="decimal"/>
      <w:pStyle w:val="AnnexH1EDPB"/>
      <w:suff w:val="space"/>
      <w:lvlText w:val="Annex %1 "/>
      <w:lvlJc w:val="left"/>
      <w:pPr>
        <w:ind w:hanging="432" w:left="432"/>
      </w:pPr>
      <w:rPr>
        <w:rFonts w:ascii="Arial" w:hAnsi="Arial" w:hint="default"/>
        <w:b/>
        <w:i w:val="0"/>
        <w:caps w:val="0"/>
        <w:vanish w:val="0"/>
        <w:color w:themeColor="accent1" w:val="0A105D"/>
        <w:sz w:val="32"/>
      </w:rPr>
    </w:lvl>
    <w:lvl w:ilvl="1">
      <w:start w:val="1"/>
      <w:numFmt w:val="decimal"/>
      <w:lvlText w:val="%1.%2"/>
      <w:lvlJc w:val="left"/>
      <w:pPr>
        <w:ind w:hanging="576" w:left="576"/>
      </w:pPr>
      <w:rPr>
        <w:rFonts w:ascii="Arial" w:hAnsi="Arial" w:hint="default"/>
        <w:b/>
        <w:i w:val="0"/>
        <w:color w:themeColor="accent1" w:val="0A105D"/>
        <w:sz w:val="28"/>
      </w:rPr>
    </w:lvl>
    <w:lvl w:ilvl="2">
      <w:start w:val="1"/>
      <w:numFmt w:val="decimal"/>
      <w:lvlText w:val="%1.%2.%3"/>
      <w:lvlJc w:val="left"/>
      <w:pPr>
        <w:ind w:hanging="720" w:left="720"/>
      </w:pPr>
      <w:rPr>
        <w:rFonts w:hint="default"/>
      </w:rPr>
    </w:lvl>
    <w:lvl w:ilvl="3">
      <w:start w:val="1"/>
      <w:numFmt w:val="decimal"/>
      <w:lvlText w:val="%1.%2.%3.%4"/>
      <w:lvlJc w:val="left"/>
      <w:pPr>
        <w:ind w:hanging="864" w:left="864"/>
      </w:pPr>
      <w:rPr>
        <w:rFonts w:hint="default"/>
      </w:rPr>
    </w:lvl>
    <w:lvl w:ilvl="4">
      <w:start w:val="1"/>
      <w:numFmt w:val="decimal"/>
      <w:lvlText w:val="%1.%2.%3.%4.%5"/>
      <w:lvlJc w:val="left"/>
      <w:pPr>
        <w:ind w:hanging="1008" w:left="1008"/>
      </w:pPr>
      <w:rPr>
        <w:rFonts w:hint="default"/>
      </w:rPr>
    </w:lvl>
    <w:lvl w:ilvl="5">
      <w:start w:val="1"/>
      <w:numFmt w:val="decimal"/>
      <w:lvlText w:val="%1.%2.%3.%4.%5.%6"/>
      <w:lvlJc w:val="left"/>
      <w:pPr>
        <w:ind w:hanging="1152" w:left="1152"/>
      </w:pPr>
      <w:rPr>
        <w:rFonts w:hint="default"/>
      </w:rPr>
    </w:lvl>
    <w:lvl w:ilvl="6">
      <w:start w:val="1"/>
      <w:numFmt w:val="decimal"/>
      <w:lvlText w:val="%1.%2.%3.%4.%5.%6.%7"/>
      <w:lvlJc w:val="left"/>
      <w:pPr>
        <w:ind w:hanging="1296" w:left="1296"/>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584" w:left="1584"/>
      </w:pPr>
      <w:rPr>
        <w:rFonts w:hint="default"/>
      </w:rPr>
    </w:lvl>
  </w:abstractNum>
  <w:abstractNum w15:restartNumberingAfterBreak="0" w:abstractNumId="11">
    <w:nsid w:val="682634CB"/>
    <w:multiLevelType w:val="multilevel"/>
    <w:tmpl w:val="DEEE0E52"/>
    <w:lvl w:ilvl="0">
      <w:start w:val="1"/>
      <w:numFmt w:val="decimal"/>
      <w:pStyle w:val="NumberedExampleinabox-EDPB"/>
      <w:lvlText w:val="Example %1:"/>
      <w:lvlJc w:val="left"/>
      <w:pPr>
        <w:ind w:hanging="360" w:left="1260"/>
      </w:pPr>
      <w:rPr>
        <w:rFonts w:cs="Times New Roman" w:hint="default"/>
        <w:b/>
        <w:i w:val="0"/>
        <w:color w:themeColor="accent1" w:val="0A105D"/>
      </w:rPr>
    </w:lvl>
    <w:lvl w:ilvl="1">
      <w:start w:val="1"/>
      <w:numFmt w:val="lowerLetter"/>
      <w:lvlText w:val="%2."/>
      <w:lvlJc w:val="left"/>
      <w:pPr>
        <w:ind w:hanging="360" w:left="2357"/>
      </w:pPr>
      <w:rPr>
        <w:rFonts w:cs="Times New Roman" w:hint="default"/>
      </w:rPr>
    </w:lvl>
    <w:lvl w:ilvl="2">
      <w:start w:val="1"/>
      <w:numFmt w:val="lowerRoman"/>
      <w:lvlText w:val="%3."/>
      <w:lvlJc w:val="right"/>
      <w:pPr>
        <w:ind w:hanging="180" w:left="3077"/>
      </w:pPr>
      <w:rPr>
        <w:rFonts w:cs="Times New Roman" w:hint="default"/>
      </w:rPr>
    </w:lvl>
    <w:lvl w:ilvl="3">
      <w:start w:val="1"/>
      <w:numFmt w:val="decimal"/>
      <w:lvlText w:val="%4."/>
      <w:lvlJc w:val="left"/>
      <w:pPr>
        <w:ind w:hanging="360" w:left="3797"/>
      </w:pPr>
      <w:rPr>
        <w:rFonts w:cs="Times New Roman" w:hint="default"/>
      </w:rPr>
    </w:lvl>
    <w:lvl w:ilvl="4">
      <w:start w:val="1"/>
      <w:numFmt w:val="lowerLetter"/>
      <w:lvlText w:val="%5."/>
      <w:lvlJc w:val="left"/>
      <w:pPr>
        <w:ind w:hanging="360" w:left="4517"/>
      </w:pPr>
      <w:rPr>
        <w:rFonts w:cs="Times New Roman" w:hint="default"/>
      </w:rPr>
    </w:lvl>
    <w:lvl w:ilvl="5">
      <w:start w:val="1"/>
      <w:numFmt w:val="lowerRoman"/>
      <w:lvlText w:val="%6."/>
      <w:lvlJc w:val="right"/>
      <w:pPr>
        <w:ind w:hanging="180" w:left="5237"/>
      </w:pPr>
      <w:rPr>
        <w:rFonts w:cs="Times New Roman" w:hint="default"/>
      </w:rPr>
    </w:lvl>
    <w:lvl w:ilvl="6">
      <w:start w:val="1"/>
      <w:numFmt w:val="decimal"/>
      <w:lvlText w:val="%7."/>
      <w:lvlJc w:val="left"/>
      <w:pPr>
        <w:ind w:hanging="360" w:left="5957"/>
      </w:pPr>
      <w:rPr>
        <w:rFonts w:cs="Times New Roman" w:hint="default"/>
      </w:rPr>
    </w:lvl>
    <w:lvl w:ilvl="7">
      <w:start w:val="1"/>
      <w:numFmt w:val="lowerLetter"/>
      <w:lvlText w:val="%8."/>
      <w:lvlJc w:val="left"/>
      <w:pPr>
        <w:ind w:hanging="360" w:left="6677"/>
      </w:pPr>
      <w:rPr>
        <w:rFonts w:cs="Times New Roman" w:hint="default"/>
      </w:rPr>
    </w:lvl>
    <w:lvl w:ilvl="8">
      <w:start w:val="1"/>
      <w:numFmt w:val="lowerRoman"/>
      <w:lvlText w:val="%9."/>
      <w:lvlJc w:val="right"/>
      <w:pPr>
        <w:ind w:hanging="180" w:left="7397"/>
      </w:pPr>
      <w:rPr>
        <w:rFonts w:cs="Times New Roman" w:hint="default"/>
      </w:rPr>
    </w:lvl>
  </w:abstractNum>
  <w:abstractNum w15:restartNumberingAfterBreak="0" w:abstractNumId="12">
    <w:nsid w:val="697A3767"/>
    <w:multiLevelType w:val="hybridMultilevel"/>
    <w:tmpl w:val="681EAF7C"/>
    <w:lvl w:ilvl="0" w:tplc="08090003">
      <w:start w:val="1"/>
      <w:numFmt w:val="bullet"/>
      <w:lvlText w:val="o"/>
      <w:lvlJc w:val="left"/>
      <w:pPr>
        <w:ind w:hanging="360" w:left="720"/>
      </w:pPr>
      <w:rPr>
        <w:rFonts w:ascii="Courier New" w:cs="Courier New" w:hAnsi="Courier New"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3">
    <w:nsid w:val="778F70C8"/>
    <w:multiLevelType w:val="multilevel"/>
    <w:tmpl w:val="BCFA67AC"/>
    <w:lvl w:ilvl="0">
      <w:start w:val="1"/>
      <w:numFmt w:val="decimal"/>
      <w:pStyle w:val="Heading1"/>
      <w:suff w:val="space"/>
      <w:lvlText w:val="%1 "/>
      <w:lvlJc w:val="left"/>
      <w:pPr>
        <w:ind w:firstLine="0" w:left="0"/>
      </w:pPr>
      <w:rPr>
        <w:rFonts w:ascii="Arial" w:hAnsi="Arial" w:hint="default"/>
        <w:b/>
        <w:i w:val="0"/>
        <w:caps w:val="0"/>
        <w:vanish w:val="0"/>
        <w:color w:themeColor="accent3" w:val="0A105D"/>
        <w:sz w:val="32"/>
      </w:rPr>
    </w:lvl>
    <w:lvl w:ilvl="1">
      <w:start w:val="1"/>
      <w:numFmt w:val="decimal"/>
      <w:pStyle w:val="Heading2"/>
      <w:suff w:val="space"/>
      <w:lvlText w:val="%1.%2"/>
      <w:lvlJc w:val="left"/>
      <w:pPr>
        <w:ind w:hanging="5387" w:left="5387"/>
      </w:pPr>
      <w:rPr>
        <w:rFonts w:ascii="Arial" w:hAnsi="Arial" w:hint="default"/>
        <w:b/>
        <w:i w:val="0"/>
        <w:sz w:val="28"/>
      </w:rPr>
    </w:lvl>
    <w:lvl w:ilvl="2">
      <w:start w:val="1"/>
      <w:numFmt w:val="decimal"/>
      <w:pStyle w:val="Heading3"/>
      <w:suff w:val="space"/>
      <w:lvlText w:val="%1.%2.%3"/>
      <w:lvlJc w:val="left"/>
      <w:pPr>
        <w:ind w:firstLine="0" w:left="0"/>
      </w:pPr>
      <w:rPr>
        <w:rFonts w:ascii="Arial" w:hAnsi="Arial" w:hint="default"/>
        <w:b/>
        <w:i w:val="0"/>
        <w:color w:themeColor="accent1" w:val="0A105D"/>
        <w:sz w:val="24"/>
      </w:rPr>
    </w:lvl>
    <w:lvl w:ilvl="3">
      <w:start w:val="1"/>
      <w:numFmt w:val="decimal"/>
      <w:suff w:val="space"/>
      <w:lvlText w:val="%1.%2.%3.%4"/>
      <w:lvlJc w:val="left"/>
      <w:pPr>
        <w:ind w:firstLine="0" w:left="0"/>
      </w:pPr>
      <w:rPr>
        <w:rFonts w:ascii="Arial" w:hAnsi="Arial" w:hint="default"/>
        <w:b/>
        <w:i w:val="0"/>
        <w:color w:themeColor="accent2" w:val="08149C"/>
        <w:sz w:val="22"/>
      </w:rPr>
    </w:lvl>
    <w:lvl w:ilvl="4">
      <w:start w:val="1"/>
      <w:numFmt w:val="decimal"/>
      <w:suff w:val="space"/>
      <w:lvlText w:val="%1.%2.%3.%4.%5"/>
      <w:lvlJc w:val="left"/>
      <w:pPr>
        <w:ind w:firstLine="0" w:left="0"/>
      </w:pPr>
      <w:rPr>
        <w:rFonts w:ascii="Arial" w:hAnsi="Arial" w:hint="default"/>
        <w:b/>
        <w:i w:val="0"/>
        <w:sz w:val="22"/>
      </w:rPr>
    </w:lvl>
    <w:lvl w:ilvl="5">
      <w:start w:val="1"/>
      <w:numFmt w:val="decimal"/>
      <w:pStyle w:val="Heading6"/>
      <w:suff w:val="space"/>
      <w:lvlText w:val="%1.%2.%3.%4.%5.%6"/>
      <w:lvlJc w:val="left"/>
      <w:pPr>
        <w:ind w:firstLine="0" w:left="0"/>
      </w:pPr>
      <w:rPr>
        <w:rFonts w:hint="default"/>
      </w:rPr>
    </w:lvl>
    <w:lvl w:ilvl="6">
      <w:start w:val="1"/>
      <w:numFmt w:val="decimal"/>
      <w:pStyle w:val="Heading7"/>
      <w:suff w:val="space"/>
      <w:lvlText w:val="%1.%2.%3.%4.%5.%6.%7"/>
      <w:lvlJc w:val="left"/>
      <w:pPr>
        <w:ind w:firstLine="0" w:left="0"/>
      </w:pPr>
      <w:rPr>
        <w:rFonts w:hint="default"/>
      </w:rPr>
    </w:lvl>
    <w:lvl w:ilvl="7">
      <w:start w:val="1"/>
      <w:numFmt w:val="decimal"/>
      <w:pStyle w:val="Heading8"/>
      <w:suff w:val="space"/>
      <w:lvlText w:val="%1.%2.%3.%4.%5.%6.%7.%8"/>
      <w:lvlJc w:val="left"/>
      <w:pPr>
        <w:ind w:firstLine="0" w:left="0"/>
      </w:pPr>
      <w:rPr>
        <w:rFonts w:hint="default"/>
      </w:rPr>
    </w:lvl>
    <w:lvl w:ilvl="8">
      <w:start w:val="1"/>
      <w:numFmt w:val="decimal"/>
      <w:pStyle w:val="Heading9"/>
      <w:lvlText w:val="%1.%2.%3.%4.%5.%6.%7.%8.%9"/>
      <w:lvlJc w:val="left"/>
      <w:pPr>
        <w:ind w:hanging="1584" w:left="1584"/>
      </w:pPr>
      <w:rPr>
        <w:rFonts w:hint="default"/>
      </w:rPr>
    </w:lvl>
  </w:abstractNum>
  <w:abstractNum w15:restartNumberingAfterBreak="0" w:abstractNumId="14">
    <w:nsid w:val="7BCE62D3"/>
    <w:multiLevelType w:val="hybridMultilevel"/>
    <w:tmpl w:val="CA34CDF0"/>
    <w:lvl w:ilvl="0" w:tplc="252A41E2">
      <w:start w:val="1"/>
      <w:numFmt w:val="decimal"/>
      <w:pStyle w:val="Numberedparagraph-EDPB"/>
      <w:lvlText w:val="%1"/>
      <w:lvlJc w:val="left"/>
      <w:pPr>
        <w:ind w:hanging="360" w:left="153"/>
      </w:pPr>
      <w:rPr>
        <w:rFonts w:ascii="Arial" w:cs="Calibri" w:hAnsi="Arial" w:hint="default"/>
        <w:b w:val="0"/>
        <w:bCs w:val="0"/>
        <w:i w:val="0"/>
        <w:iCs w:val="0"/>
        <w:caps w:val="0"/>
        <w:smallCaps w:val="0"/>
        <w:strike w:val="0"/>
        <w:dstrike w:val="0"/>
        <w:outline w:val="0"/>
        <w:shadow w:val="0"/>
        <w:emboss w:val="0"/>
        <w:imprint w:val="0"/>
        <w:vanish w:val="0"/>
        <w:color w:themeColor="text1" w:val="000000"/>
        <w:spacing w:val="0"/>
        <w:kern w:val="0"/>
        <w:position w:val="0"/>
        <w:sz w:val="22"/>
        <w:szCs w:val="22"/>
        <w:u w:val="none"/>
        <w:effect w:val="none"/>
        <w:vertAlign w:val="baseline"/>
        <w14:ligatures w14:val="none"/>
        <w14:numForm w14:val="default"/>
      </w:rPr>
    </w:lvl>
    <w:lvl w:ilvl="1" w:tentative="1" w:tplc="08090019">
      <w:start w:val="1"/>
      <w:numFmt w:val="lowerLetter"/>
      <w:lvlText w:val="%2."/>
      <w:lvlJc w:val="left"/>
      <w:pPr>
        <w:ind w:hanging="360" w:left="873"/>
      </w:pPr>
    </w:lvl>
    <w:lvl w:ilvl="2" w:tentative="1" w:tplc="0809001B">
      <w:start w:val="1"/>
      <w:numFmt w:val="lowerRoman"/>
      <w:lvlText w:val="%3."/>
      <w:lvlJc w:val="right"/>
      <w:pPr>
        <w:ind w:hanging="180" w:left="1593"/>
      </w:pPr>
    </w:lvl>
    <w:lvl w:ilvl="3" w:tentative="1" w:tplc="0809000F">
      <w:start w:val="1"/>
      <w:numFmt w:val="decimal"/>
      <w:lvlText w:val="%4."/>
      <w:lvlJc w:val="left"/>
      <w:pPr>
        <w:ind w:hanging="360" w:left="2313"/>
      </w:pPr>
    </w:lvl>
    <w:lvl w:ilvl="4" w:tentative="1" w:tplc="08090019">
      <w:start w:val="1"/>
      <w:numFmt w:val="lowerLetter"/>
      <w:lvlText w:val="%5."/>
      <w:lvlJc w:val="left"/>
      <w:pPr>
        <w:ind w:hanging="360" w:left="3033"/>
      </w:pPr>
    </w:lvl>
    <w:lvl w:ilvl="5" w:tentative="1" w:tplc="0809001B">
      <w:start w:val="1"/>
      <w:numFmt w:val="lowerRoman"/>
      <w:lvlText w:val="%6."/>
      <w:lvlJc w:val="right"/>
      <w:pPr>
        <w:ind w:hanging="180" w:left="3753"/>
      </w:pPr>
    </w:lvl>
    <w:lvl w:ilvl="6" w:tentative="1" w:tplc="0809000F">
      <w:start w:val="1"/>
      <w:numFmt w:val="decimal"/>
      <w:lvlText w:val="%7."/>
      <w:lvlJc w:val="left"/>
      <w:pPr>
        <w:ind w:hanging="360" w:left="4473"/>
      </w:pPr>
    </w:lvl>
    <w:lvl w:ilvl="7" w:tentative="1" w:tplc="08090019">
      <w:start w:val="1"/>
      <w:numFmt w:val="lowerLetter"/>
      <w:lvlText w:val="%8."/>
      <w:lvlJc w:val="left"/>
      <w:pPr>
        <w:ind w:hanging="360" w:left="5193"/>
      </w:pPr>
    </w:lvl>
    <w:lvl w:ilvl="8" w:tentative="1" w:tplc="0809001B">
      <w:start w:val="1"/>
      <w:numFmt w:val="lowerRoman"/>
      <w:lvlText w:val="%9."/>
      <w:lvlJc w:val="right"/>
      <w:pPr>
        <w:ind w:hanging="180" w:left="5913"/>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FA12B3C"/>
    <w:multiLevelType w:val="multiLevel"/>
    <w:tmpl w:val="04090029"/>
    <w:lvl w:ilvl="0">
      <w:start w:val="1"/>
      <w:numFmt w:val="decimal"/>
      <w:lvlText w:val="%1"/>
      <w:lvlJc w:val="left"/>
    </w:lvl>
    <w:lvl w:ilvl="1">
      <w:start w:val="1"/>
      <w:numFmt w:val="decimal"/>
      <w:lvlText w:val="%1.%2"/>
      <w:lvlJc w:val="left"/>
    </w:lvl>
    <w:lvl w:ilvl="2">
      <w:start w:val="1"/>
      <w:numFmt w:val="lowerLetter"/>
      <w:lvlText w:val="%1.%2.%3"/>
      <w:lvlJc w:val="left"/>
    </w:lvl>
  </w:abstractNum>
  <w:num w16cid:durableId="1203324735" w:numId="1">
    <w:abstractNumId w:val="11"/>
  </w:num>
  <w:num w16cid:durableId="828400307" w:numId="2">
    <w:abstractNumId w:val="6"/>
  </w:num>
  <w:num w16cid:durableId="690375217" w:numId="3">
    <w:abstractNumId w:val="14"/>
  </w:num>
  <w:num w16cid:durableId="1944413349" w:numId="4">
    <w:abstractNumId w:val="8"/>
  </w:num>
  <w:num w16cid:durableId="1312566294" w:numId="5">
    <w:abstractNumId w:val="0"/>
  </w:num>
  <w:num w16cid:durableId="1850485742" w:numId="6">
    <w:abstractNumId w:val="10"/>
  </w:num>
  <w:num w16cid:durableId="2009207441" w:numId="7">
    <w:abstractNumId w:val="13"/>
  </w:num>
  <w:num w16cid:durableId="1497963150" w:numId="8">
    <w:abstractNumId w:val="9"/>
  </w:num>
  <w:num w16cid:durableId="328751044" w:numId="9">
    <w:abstractNumId w:val="2"/>
  </w:num>
  <w:num w16cid:durableId="339896839" w:numId="10">
    <w:abstractNumId w:val="5"/>
  </w:num>
  <w:num w16cid:durableId="40328966" w:numId="11">
    <w:abstractNumId w:val="7"/>
  </w:num>
  <w:num w16cid:durableId="1481845719" w:numId="12">
    <w:abstractNumId w:val="4"/>
  </w:num>
  <w:num w16cid:durableId="590969864" w:numId="13">
    <w:abstractNumId w:val="3"/>
  </w:num>
  <w:num w16cid:durableId="626934513" w:numId="14">
    <w:abstractNumId w:val="12"/>
  </w:num>
  <w:num w16cid:durableId="751319523" w:numId="15">
    <w:abstractNumId w:val="1"/>
  </w:num>
  <w:num w:numId="1000">
    <w:abstractNumId w:val="990"/>
  </w:num>
  <w:num w:numId="1001">
    <w:abstractNumId w:val="991"/>
  </w:num>
  <w:num w:numId="1002">
    <w:abstractNumId w:val="992"/>
    <w:lvlOverride w:ilvl="0">
      <w:startOverride w:val="1"/>
    </w:lvlOverride>
    <w:lvlOverride w:ilvl="1">
      <w:startOverride w:val="1"/>
    </w:lvlOverride>
    <w:lvlOverride w:ilvl="2">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removePersonalInformation/>
  <w:removeDateAndTime/>
  <w:displayBackgroundShape/>
  <w:embedSystemFonts/>
  <w:activeWritingStyle w:appName="MSWord" w:checkStyle="0" w:dllVersion="6" w:lang="pt-PT" w:nlCheck="1" w:vendorID="64"/>
  <w:proofState w:grammar="clean" w:spelling="clean"/>
  <w:stylePaneFormatFilter w:allStyles="1" w:alternateStyleNames="1" w:clearFormatting="1" w:customStyles="0" w:directFormattingOnNumbering="0" w:directFormattingOnParagraphs="0" w:directFormattingOnRuns="0" w:directFormattingOnTables="0" w:headingStyles="1" w:latentStyles="0" w:numberingStyles="0" w:stylesInUse="0" w:tableStyles="0" w:top3HeadingStyles="0" w:val="9021" w:visibleStyles="0"/>
  <w:doNotTrackMoves/>
  <w:styleLockTheme/>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283"/>
    <w:rsid w:val="00000E9A"/>
    <w:rsid w:val="00002024"/>
    <w:rsid w:val="00007177"/>
    <w:rsid w:val="00010BC6"/>
    <w:rsid w:val="00011B27"/>
    <w:rsid w:val="00054C03"/>
    <w:rsid w:val="00081837"/>
    <w:rsid w:val="0008690C"/>
    <w:rsid w:val="000B0171"/>
    <w:rsid w:val="000E559D"/>
    <w:rsid w:val="000E6D81"/>
    <w:rsid w:val="000F3E09"/>
    <w:rsid w:val="001427A8"/>
    <w:rsid w:val="00151147"/>
    <w:rsid w:val="0016334A"/>
    <w:rsid w:val="00167CE9"/>
    <w:rsid w:val="00177355"/>
    <w:rsid w:val="0018123B"/>
    <w:rsid w:val="00185008"/>
    <w:rsid w:val="001A0C5A"/>
    <w:rsid w:val="001B06D2"/>
    <w:rsid w:val="001B469B"/>
    <w:rsid w:val="001C1D3C"/>
    <w:rsid w:val="001C2895"/>
    <w:rsid w:val="001C712E"/>
    <w:rsid w:val="001E5742"/>
    <w:rsid w:val="001F1175"/>
    <w:rsid w:val="00203944"/>
    <w:rsid w:val="00217CED"/>
    <w:rsid w:val="00217E28"/>
    <w:rsid w:val="002241BE"/>
    <w:rsid w:val="002321F7"/>
    <w:rsid w:val="00252D30"/>
    <w:rsid w:val="0025330E"/>
    <w:rsid w:val="0027362F"/>
    <w:rsid w:val="00274087"/>
    <w:rsid w:val="00291EF2"/>
    <w:rsid w:val="00294BAB"/>
    <w:rsid w:val="002A2AB8"/>
    <w:rsid w:val="002A477B"/>
    <w:rsid w:val="002A6295"/>
    <w:rsid w:val="002E0587"/>
    <w:rsid w:val="002E2867"/>
    <w:rsid w:val="00301F1D"/>
    <w:rsid w:val="00302B85"/>
    <w:rsid w:val="00305F53"/>
    <w:rsid w:val="0030610D"/>
    <w:rsid w:val="00341F27"/>
    <w:rsid w:val="00355B08"/>
    <w:rsid w:val="00366934"/>
    <w:rsid w:val="00380F75"/>
    <w:rsid w:val="00390FD4"/>
    <w:rsid w:val="003B1F77"/>
    <w:rsid w:val="003D6297"/>
    <w:rsid w:val="00400936"/>
    <w:rsid w:val="004100F5"/>
    <w:rsid w:val="004201CA"/>
    <w:rsid w:val="00421180"/>
    <w:rsid w:val="0042614C"/>
    <w:rsid w:val="004430C1"/>
    <w:rsid w:val="00446B6F"/>
    <w:rsid w:val="00446C23"/>
    <w:rsid w:val="004674BC"/>
    <w:rsid w:val="004722AF"/>
    <w:rsid w:val="0047378B"/>
    <w:rsid w:val="004A2F30"/>
    <w:rsid w:val="004B4264"/>
    <w:rsid w:val="004B5C8E"/>
    <w:rsid w:val="004C52C4"/>
    <w:rsid w:val="004E12AC"/>
    <w:rsid w:val="004F1A2A"/>
    <w:rsid w:val="0051363B"/>
    <w:rsid w:val="0053562E"/>
    <w:rsid w:val="00557DA5"/>
    <w:rsid w:val="00575CEB"/>
    <w:rsid w:val="005762E3"/>
    <w:rsid w:val="00590876"/>
    <w:rsid w:val="00595B77"/>
    <w:rsid w:val="00595B8E"/>
    <w:rsid w:val="006012A1"/>
    <w:rsid w:val="00602D85"/>
    <w:rsid w:val="00603AE3"/>
    <w:rsid w:val="00607C02"/>
    <w:rsid w:val="00637169"/>
    <w:rsid w:val="0065506B"/>
    <w:rsid w:val="00687014"/>
    <w:rsid w:val="00690B21"/>
    <w:rsid w:val="00692143"/>
    <w:rsid w:val="006C06CD"/>
    <w:rsid w:val="006C1F81"/>
    <w:rsid w:val="006D0B5F"/>
    <w:rsid w:val="006D0DFC"/>
    <w:rsid w:val="00706ECB"/>
    <w:rsid w:val="00721333"/>
    <w:rsid w:val="00722002"/>
    <w:rsid w:val="00737878"/>
    <w:rsid w:val="0075187D"/>
    <w:rsid w:val="00774C30"/>
    <w:rsid w:val="00781FF4"/>
    <w:rsid w:val="00782DFE"/>
    <w:rsid w:val="00791A24"/>
    <w:rsid w:val="007974B5"/>
    <w:rsid w:val="007A17E8"/>
    <w:rsid w:val="007B3509"/>
    <w:rsid w:val="007B75F9"/>
    <w:rsid w:val="00801461"/>
    <w:rsid w:val="008047F7"/>
    <w:rsid w:val="00820529"/>
    <w:rsid w:val="00824179"/>
    <w:rsid w:val="00824272"/>
    <w:rsid w:val="00852449"/>
    <w:rsid w:val="00863C60"/>
    <w:rsid w:val="008765BE"/>
    <w:rsid w:val="00892AEB"/>
    <w:rsid w:val="00894C8D"/>
    <w:rsid w:val="008B61AE"/>
    <w:rsid w:val="008B6AE1"/>
    <w:rsid w:val="008C11D8"/>
    <w:rsid w:val="008E3361"/>
    <w:rsid w:val="008E6321"/>
    <w:rsid w:val="009126AE"/>
    <w:rsid w:val="00924240"/>
    <w:rsid w:val="00952F77"/>
    <w:rsid w:val="00957EE6"/>
    <w:rsid w:val="00964490"/>
    <w:rsid w:val="009A25EE"/>
    <w:rsid w:val="009B0283"/>
    <w:rsid w:val="009C396C"/>
    <w:rsid w:val="00A04D9C"/>
    <w:rsid w:val="00A15A8D"/>
    <w:rsid w:val="00A41BC3"/>
    <w:rsid w:val="00A46A52"/>
    <w:rsid w:val="00A5238F"/>
    <w:rsid w:val="00A73F8F"/>
    <w:rsid w:val="00A81F5A"/>
    <w:rsid w:val="00A85568"/>
    <w:rsid w:val="00AA2554"/>
    <w:rsid w:val="00AC3E0B"/>
    <w:rsid w:val="00AC66C9"/>
    <w:rsid w:val="00AD4D8C"/>
    <w:rsid w:val="00AE3BAD"/>
    <w:rsid w:val="00B13330"/>
    <w:rsid w:val="00B247DE"/>
    <w:rsid w:val="00B3739D"/>
    <w:rsid w:val="00B66BB9"/>
    <w:rsid w:val="00B76056"/>
    <w:rsid w:val="00BB6F65"/>
    <w:rsid w:val="00BC69A7"/>
    <w:rsid w:val="00BF5459"/>
    <w:rsid w:val="00C11A66"/>
    <w:rsid w:val="00C1546D"/>
    <w:rsid w:val="00C25EF8"/>
    <w:rsid w:val="00C3303D"/>
    <w:rsid w:val="00C5252A"/>
    <w:rsid w:val="00C56806"/>
    <w:rsid w:val="00C61CAF"/>
    <w:rsid w:val="00C91E23"/>
    <w:rsid w:val="00CA15A5"/>
    <w:rsid w:val="00CA568F"/>
    <w:rsid w:val="00CC256C"/>
    <w:rsid w:val="00CD1339"/>
    <w:rsid w:val="00CE2D25"/>
    <w:rsid w:val="00CF0C6D"/>
    <w:rsid w:val="00D210AB"/>
    <w:rsid w:val="00D217B5"/>
    <w:rsid w:val="00D31D4E"/>
    <w:rsid w:val="00D36A46"/>
    <w:rsid w:val="00D4049E"/>
    <w:rsid w:val="00D45A82"/>
    <w:rsid w:val="00D55ED2"/>
    <w:rsid w:val="00D800FE"/>
    <w:rsid w:val="00D87FDF"/>
    <w:rsid w:val="00DD52B6"/>
    <w:rsid w:val="00DD54AA"/>
    <w:rsid w:val="00DE51F4"/>
    <w:rsid w:val="00DE5596"/>
    <w:rsid w:val="00E232DD"/>
    <w:rsid w:val="00E2500E"/>
    <w:rsid w:val="00E41CC7"/>
    <w:rsid w:val="00E45413"/>
    <w:rsid w:val="00E55FCA"/>
    <w:rsid w:val="00E62F5F"/>
    <w:rsid w:val="00E67185"/>
    <w:rsid w:val="00E80001"/>
    <w:rsid w:val="00EB5B9A"/>
    <w:rsid w:val="00EC5D33"/>
    <w:rsid w:val="00ED44C1"/>
    <w:rsid w:val="00EF1447"/>
    <w:rsid w:val="00EF41F8"/>
    <w:rsid w:val="00F07027"/>
    <w:rsid w:val="00F23E8E"/>
    <w:rsid w:val="00F36255"/>
    <w:rsid w:val="00F6368A"/>
    <w:rsid w:val="00F664EA"/>
    <w:rsid w:val="00F8282F"/>
    <w:rsid w:val="00F97F1B"/>
    <w:rsid w:val="00FB2035"/>
    <w:rsid w:val="00FD0960"/>
    <w:rsid w:val="00FD6634"/>
    <w:rsid w:val="00FE1309"/>
    <w:rsid w:val="00FE33F1"/>
    <w:rsid w:val="00FF4D52"/>
  </w:rsids>
  <w:themeFontLang w:val="en-GB"/>
  <w:clrSchemeMapping w:accent1="accent1" w:accent2="accent2" w:accent3="accent3" w:accent4="accent4" w:accent5="accent5" w:accent6="accent6" w:bg1="light1" w:bg2="light2" w:followedHyperlink="followedHyperlink" w:hyperlink="hyperlink" w:t1="dark1" w:t2="dark2"/>
  <w:doNotAutoCompressPicture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en-US" w:val="en-GB"/>
      </w:rPr>
    </w:rPrDefault>
    <w:pPrDefault>
      <w:pPr>
        <w:spacing w:after="200" w:line="28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toc 1" w:qFormat="1" w:semiHidden="1" w:uiPriority="39" w:unhideWhenUsed="1"/>
    <w:lsdException w:name="toc 2" w:semiHidden="1" w:uiPriority="39" w:unhideWhenUsed="1"/>
    <w:lsdException w:name="toc 3" w:semiHidden="1" w:uiPriority="39" w:unhideWhenUsed="1"/>
    <w:lsdException w:name="toc 4" w:semiHidden="1" w:uiPriority="39" w:unhideWhenUsed="1"/>
    <w:lsdException w:name="toc 5" w:uiPriority="39"/>
    <w:lsdException w:name="toc 6" w:uiPriority="39"/>
    <w:lsdException w:name="toc 7" w:uiPriority="39"/>
    <w:lsdException w:name="toc 8" w:uiPriority="39"/>
    <w:lsdException w:name="toc 9" w:uiPriority="39"/>
    <w:lsdException w:name="footnote text" w:qFormat="1" w:semiHidden="1" w:unhideWhenUsed="1"/>
    <w:lsdException w:name="annotation text" w:semiHidden="1" w:unhideWhenUsed="1"/>
    <w:lsdException w:name="header" w:semiHidden="1" w:unhideWhenUsed="1"/>
    <w:lsdException w:name="footer" w:semiHidden="1" w:unhideWhenUsed="1"/>
    <w:lsdException w:name="caption" w:qFormat="1" w:semiHidden="1" w:uiPriority="35" w:unhideWhenUsed="1"/>
    <w:lsdException w:name="footnote reference" w:semiHidden="1" w:unhideWhenUsed="1"/>
    <w:lsdException w:name="annotation reference" w:semiHidden="1" w:unhideWhenUsed="1"/>
    <w:lsdException w:name="Title" w:qFormat="1" w:uiPriority="10"/>
    <w:lsdException w:name="Default Paragraph Font" w:semiHidden="1" w:uiPriority="1" w:unhideWhenUsed="1"/>
    <w:lsdException w:name="Subtitle" w:semiHidden="1" w:uiPriority="11" w:unhideWhenUsed="1"/>
    <w:lsdException w:name="Hyperlink" w:qFormat="1" w:semiHidden="1" w:unhideWhenUsed="1"/>
    <w:lsdException w:name="Strong" w:qFormat="1" w:uiPriority="22"/>
    <w:lsdException w:name="Emphasis" w:uiPriority="20"/>
    <w:lsdException w:name="HTML Top of Form" w:semiHidden="1" w:unhideWhenUsed="1"/>
    <w:lsdException w:name="HTML Bottom of Form"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qFormat="1" w:uiPriority="21"/>
    <w:lsdException w:name="Subtle Reference" w:uiPriority="31"/>
    <w:lsdException w:name="Intense Reference" w:uiPriority="32"/>
    <w:lsdException w:name="Book Title" w:uiPriority="33"/>
    <w:lsdException w:name="Bibliography" w:uiPriority="37"/>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aliases w:val="Normal paragraph – EDPB"/>
    <w:uiPriority w:val="3"/>
    <w:qFormat/>
    <w:rsid w:val="008E6321"/>
    <w:pPr>
      <w:spacing w:after="120" w:before="120" w:line="259" w:lineRule="auto"/>
      <w:jc w:val="both"/>
    </w:pPr>
    <w:rPr>
      <w:rFonts w:ascii="Glory" w:cs="Calibri" w:eastAsia="Times New Roman" w:hAnsi="Glory"/>
      <w:color w:themeColor="text1" w:val="000000"/>
      <w:sz w:val="22"/>
      <w:szCs w:val="24"/>
    </w:rPr>
  </w:style>
  <w:style w:styleId="Heading1" w:type="paragraph">
    <w:name w:val="heading 1"/>
    <w:aliases w:val="EDPB H1,EDPB heading 1"/>
    <w:next w:val="Normal"/>
    <w:link w:val="Heading1Char"/>
    <w:autoRedefine/>
    <w:uiPriority w:val="9"/>
    <w:qFormat/>
    <w:rsid w:val="00002024"/>
    <w:pPr>
      <w:numPr>
        <w:numId w:val="7"/>
      </w:numPr>
      <w:spacing w:before="360"/>
      <w:outlineLvl w:val="0"/>
    </w:pPr>
    <w:rPr>
      <w:rFonts w:asciiTheme="majorHAnsi" w:cstheme="majorBidi" w:eastAsiaTheme="majorEastAsia" w:hAnsiTheme="majorHAnsi"/>
      <w:b/>
      <w:color w:themeColor="accent1" w:val="0A105D"/>
      <w:spacing w:val="10"/>
      <w:sz w:val="32"/>
      <w:szCs w:val="64"/>
    </w:rPr>
  </w:style>
  <w:style w:styleId="Heading2" w:type="paragraph">
    <w:name w:val="heading 2"/>
    <w:aliases w:val="EDPB H2,EDPB Heading 2"/>
    <w:next w:val="Normal"/>
    <w:link w:val="Heading2Char"/>
    <w:autoRedefine/>
    <w:uiPriority w:val="9"/>
    <w:qFormat/>
    <w:rsid w:val="00002024"/>
    <w:pPr>
      <w:numPr>
        <w:ilvl w:val="1"/>
        <w:numId w:val="0"/>
      </w:numPr>
      <w:spacing w:before="200"/>
      <w:outlineLvl w:val="1"/>
    </w:pPr>
    <w:rPr>
      <w:rFonts w:asciiTheme="majorHAnsi" w:cstheme="majorBidi" w:eastAsiaTheme="majorEastAsia" w:hAnsiTheme="majorHAnsi"/>
      <w:b/>
      <w:color w:themeColor="accent1" w:val="0A105D"/>
      <w:spacing w:val="10"/>
      <w:sz w:val="28"/>
      <w:szCs w:val="64"/>
    </w:rPr>
  </w:style>
  <w:style w:styleId="Heading3" w:type="paragraph">
    <w:name w:val="heading 3"/>
    <w:aliases w:val="EDPB H3,EDPB Heading 3"/>
    <w:next w:val="Normal"/>
    <w:link w:val="Heading3Char"/>
    <w:uiPriority w:val="9"/>
    <w:qFormat/>
    <w:rsid w:val="00002024"/>
    <w:pPr>
      <w:numPr>
        <w:ilvl w:val="2"/>
        <w:numId w:val="0"/>
      </w:numPr>
      <w:outlineLvl w:val="2"/>
    </w:pPr>
    <w:rPr>
      <w:rFonts w:asciiTheme="majorHAnsi" w:cstheme="majorBidi" w:eastAsiaTheme="majorEastAsia" w:hAnsiTheme="majorHAnsi"/>
      <w:b/>
      <w:color w:themeColor="accent1" w:val="0A105D"/>
      <w:spacing w:val="10"/>
      <w:sz w:val="24"/>
      <w:szCs w:val="64"/>
    </w:rPr>
  </w:style>
  <w:style w:styleId="Heading4" w:type="paragraph">
    <w:name w:val="heading 4"/>
    <w:aliases w:val="EDPB H4,EDPB Heading 4"/>
    <w:next w:val="Normal"/>
    <w:link w:val="Heading4Char"/>
    <w:autoRedefine/>
    <w:uiPriority w:val="9"/>
    <w:qFormat/>
    <w:rsid w:val="00002024"/>
    <w:pPr>
      <w:spacing w:before="120"/>
      <w:outlineLvl w:val="3"/>
    </w:pPr>
    <w:rPr>
      <w:rFonts w:asciiTheme="majorHAnsi" w:cstheme="majorBidi" w:eastAsiaTheme="majorEastAsia" w:hAnsiTheme="majorHAnsi"/>
      <w:b/>
      <w:color w:themeColor="accent2" w:val="08149C"/>
      <w:spacing w:val="10"/>
      <w:sz w:val="22"/>
      <w:szCs w:val="64"/>
    </w:rPr>
  </w:style>
  <w:style w:styleId="Heading5" w:type="paragraph">
    <w:name w:val="heading 5"/>
    <w:aliases w:val="EDPB H5"/>
    <w:next w:val="Normal"/>
    <w:link w:val="Heading5Char"/>
    <w:autoRedefine/>
    <w:uiPriority w:val="9"/>
    <w:qFormat/>
    <w:rsid w:val="00002024"/>
    <w:pPr>
      <w:spacing w:before="120"/>
      <w:outlineLvl w:val="4"/>
    </w:pPr>
    <w:rPr>
      <w:rFonts w:asciiTheme="majorHAnsi" w:cstheme="majorBidi" w:eastAsiaTheme="majorEastAsia" w:hAnsiTheme="majorHAnsi"/>
      <w:b/>
      <w:spacing w:val="10"/>
      <w:sz w:val="22"/>
      <w:szCs w:val="64"/>
    </w:rPr>
  </w:style>
  <w:style w:styleId="Heading6" w:type="paragraph">
    <w:name w:val="heading 6"/>
    <w:basedOn w:val="Normal"/>
    <w:next w:val="Normal"/>
    <w:link w:val="Heading6Char"/>
    <w:uiPriority w:val="9"/>
    <w:unhideWhenUsed/>
    <w:qFormat/>
    <w:rsid w:val="00824179"/>
    <w:pPr>
      <w:keepNext/>
      <w:numPr>
        <w:ilvl w:val="5"/>
        <w:numId w:val="7"/>
      </w:numPr>
      <w:spacing w:after="0" w:before="40"/>
      <w:outlineLvl w:val="5"/>
    </w:pPr>
    <w:rPr>
      <w:rFonts w:asciiTheme="majorHAnsi" w:cstheme="majorBidi" w:eastAsiaTheme="majorEastAsia" w:hAnsiTheme="majorHAnsi"/>
      <w:color w:themeColor="accent6" w:val="0A105D"/>
      <w:sz w:val="21"/>
      <w:szCs w:val="21"/>
    </w:rPr>
  </w:style>
  <w:style w:styleId="Heading7" w:type="paragraph">
    <w:name w:val="heading 7"/>
    <w:basedOn w:val="Normal"/>
    <w:next w:val="Normal"/>
    <w:link w:val="Heading7Char"/>
    <w:uiPriority w:val="9"/>
    <w:unhideWhenUsed/>
    <w:qFormat/>
    <w:rsid w:val="00824179"/>
    <w:pPr>
      <w:keepNext/>
      <w:numPr>
        <w:ilvl w:val="6"/>
        <w:numId w:val="7"/>
      </w:numPr>
      <w:spacing w:after="0" w:before="40"/>
      <w:outlineLvl w:val="6"/>
    </w:pPr>
    <w:rPr>
      <w:rFonts w:asciiTheme="majorHAnsi" w:cstheme="majorBidi" w:eastAsiaTheme="majorEastAsia" w:hAnsiTheme="majorHAnsi"/>
      <w:b/>
      <w:bCs/>
      <w:color w:themeColor="accent6" w:val="0A105D"/>
      <w:sz w:val="21"/>
      <w:szCs w:val="21"/>
    </w:rPr>
  </w:style>
  <w:style w:styleId="Heading8" w:type="paragraph">
    <w:name w:val="heading 8"/>
    <w:basedOn w:val="Normal"/>
    <w:next w:val="Normal"/>
    <w:link w:val="Heading8Char"/>
    <w:uiPriority w:val="9"/>
    <w:unhideWhenUsed/>
    <w:qFormat/>
    <w:rsid w:val="00824179"/>
    <w:pPr>
      <w:keepNext/>
      <w:numPr>
        <w:ilvl w:val="7"/>
        <w:numId w:val="7"/>
      </w:numPr>
      <w:spacing w:after="0" w:before="40"/>
      <w:outlineLvl w:val="7"/>
    </w:pPr>
    <w:rPr>
      <w:rFonts w:asciiTheme="majorHAnsi" w:cstheme="majorBidi" w:eastAsiaTheme="majorEastAsia" w:hAnsiTheme="majorHAnsi"/>
      <w:b/>
      <w:bCs/>
      <w:i/>
      <w:iCs/>
      <w:color w:themeColor="accent6" w:val="0A105D"/>
      <w:sz w:val="20"/>
      <w:szCs w:val="20"/>
    </w:rPr>
  </w:style>
  <w:style w:styleId="Heading9" w:type="paragraph">
    <w:name w:val="heading 9"/>
    <w:basedOn w:val="Normal"/>
    <w:next w:val="Normal"/>
    <w:link w:val="Heading9Char"/>
    <w:uiPriority w:val="9"/>
    <w:unhideWhenUsed/>
    <w:qFormat/>
    <w:rsid w:val="00824179"/>
    <w:pPr>
      <w:keepNext/>
      <w:numPr>
        <w:ilvl w:val="8"/>
        <w:numId w:val="7"/>
      </w:numPr>
      <w:spacing w:after="0" w:before="40"/>
      <w:outlineLvl w:val="8"/>
    </w:pPr>
    <w:rPr>
      <w:rFonts w:asciiTheme="majorHAnsi" w:cstheme="majorBidi" w:eastAsiaTheme="majorEastAsia" w:hAnsiTheme="majorHAnsi"/>
      <w:i/>
      <w:iCs/>
      <w:color w:themeColor="accent6" w:val="0A105D"/>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aliases w:val="EDPB H1 Char,EDPB heading 1 Char"/>
    <w:basedOn w:val="DefaultParagraphFont"/>
    <w:link w:val="Heading1"/>
    <w:uiPriority w:val="9"/>
    <w:rsid w:val="00002024"/>
    <w:rPr>
      <w:rFonts w:asciiTheme="majorHAnsi" w:cstheme="majorBidi" w:eastAsiaTheme="majorEastAsia" w:hAnsiTheme="majorHAnsi"/>
      <w:b/>
      <w:color w:themeColor="accent1" w:val="0A105D"/>
      <w:spacing w:val="10"/>
      <w:sz w:val="32"/>
      <w:szCs w:val="64"/>
    </w:rPr>
  </w:style>
  <w:style w:customStyle="1" w:styleId="Heading2Char" w:type="character">
    <w:name w:val="Heading 2 Char"/>
    <w:aliases w:val="EDPB H2 Char,EDPB Heading 2 Char"/>
    <w:basedOn w:val="DefaultParagraphFont"/>
    <w:link w:val="Heading2"/>
    <w:uiPriority w:val="9"/>
    <w:rsid w:val="00002024"/>
    <w:rPr>
      <w:rFonts w:asciiTheme="majorHAnsi" w:cstheme="majorBidi" w:eastAsiaTheme="majorEastAsia" w:hAnsiTheme="majorHAnsi"/>
      <w:b/>
      <w:color w:themeColor="accent1" w:val="0A105D"/>
      <w:spacing w:val="10"/>
      <w:sz w:val="28"/>
      <w:szCs w:val="64"/>
    </w:rPr>
  </w:style>
  <w:style w:customStyle="1" w:styleId="Heading3Char" w:type="character">
    <w:name w:val="Heading 3 Char"/>
    <w:aliases w:val="EDPB H3 Char,EDPB Heading 3 Char"/>
    <w:basedOn w:val="DefaultParagraphFont"/>
    <w:link w:val="Heading3"/>
    <w:uiPriority w:val="9"/>
    <w:rsid w:val="00002024"/>
    <w:rPr>
      <w:rFonts w:asciiTheme="majorHAnsi" w:cstheme="majorBidi" w:eastAsiaTheme="majorEastAsia" w:hAnsiTheme="majorHAnsi"/>
      <w:b/>
      <w:color w:themeColor="accent1" w:val="0A105D"/>
      <w:spacing w:val="10"/>
      <w:sz w:val="24"/>
      <w:szCs w:val="64"/>
    </w:rPr>
  </w:style>
  <w:style w:customStyle="1" w:styleId="Heading4Char" w:type="character">
    <w:name w:val="Heading 4 Char"/>
    <w:aliases w:val="EDPB H4 Char,EDPB Heading 4 Char"/>
    <w:basedOn w:val="DefaultParagraphFont"/>
    <w:link w:val="Heading4"/>
    <w:uiPriority w:val="9"/>
    <w:rsid w:val="00002024"/>
    <w:rPr>
      <w:rFonts w:asciiTheme="majorHAnsi" w:cstheme="majorBidi" w:eastAsiaTheme="majorEastAsia" w:hAnsiTheme="majorHAnsi"/>
      <w:b/>
      <w:color w:themeColor="accent2" w:val="08149C"/>
      <w:spacing w:val="10"/>
      <w:sz w:val="22"/>
      <w:szCs w:val="64"/>
    </w:rPr>
  </w:style>
  <w:style w:customStyle="1" w:styleId="Heading5Char" w:type="character">
    <w:name w:val="Heading 5 Char"/>
    <w:aliases w:val="EDPB H5 Char"/>
    <w:basedOn w:val="DefaultParagraphFont"/>
    <w:link w:val="Heading5"/>
    <w:uiPriority w:val="9"/>
    <w:rsid w:val="00002024"/>
    <w:rPr>
      <w:rFonts w:asciiTheme="majorHAnsi" w:cstheme="majorBidi" w:eastAsiaTheme="majorEastAsia" w:hAnsiTheme="majorHAnsi"/>
      <w:b/>
      <w:spacing w:val="10"/>
      <w:sz w:val="22"/>
      <w:szCs w:val="64"/>
    </w:rPr>
  </w:style>
  <w:style w:customStyle="1" w:styleId="Heading6Char" w:type="character">
    <w:name w:val="Heading 6 Char"/>
    <w:basedOn w:val="DefaultParagraphFont"/>
    <w:link w:val="Heading6"/>
    <w:uiPriority w:val="9"/>
    <w:rsid w:val="007B75F9"/>
    <w:rPr>
      <w:rFonts w:asciiTheme="majorHAnsi" w:cstheme="majorBidi" w:eastAsiaTheme="majorEastAsia" w:hAnsiTheme="majorHAnsi"/>
      <w:color w:themeColor="accent6" w:val="0A105D"/>
    </w:rPr>
  </w:style>
  <w:style w:customStyle="1" w:styleId="Heading7Char" w:type="character">
    <w:name w:val="Heading 7 Char"/>
    <w:basedOn w:val="DefaultParagraphFont"/>
    <w:link w:val="Heading7"/>
    <w:uiPriority w:val="9"/>
    <w:rsid w:val="007B75F9"/>
    <w:rPr>
      <w:rFonts w:asciiTheme="majorHAnsi" w:cstheme="majorBidi" w:eastAsiaTheme="majorEastAsia" w:hAnsiTheme="majorHAnsi"/>
      <w:b/>
      <w:bCs/>
      <w:color w:themeColor="accent6" w:val="0A105D"/>
    </w:rPr>
  </w:style>
  <w:style w:customStyle="1" w:styleId="Heading8Char" w:type="character">
    <w:name w:val="Heading 8 Char"/>
    <w:basedOn w:val="DefaultParagraphFont"/>
    <w:link w:val="Heading8"/>
    <w:uiPriority w:val="9"/>
    <w:rsid w:val="007B75F9"/>
    <w:rPr>
      <w:rFonts w:asciiTheme="majorHAnsi" w:cstheme="majorBidi" w:eastAsiaTheme="majorEastAsia" w:hAnsiTheme="majorHAnsi"/>
      <w:b/>
      <w:bCs/>
      <w:i/>
      <w:iCs/>
      <w:color w:themeColor="accent6" w:val="0A105D"/>
      <w:sz w:val="20"/>
      <w:szCs w:val="20"/>
    </w:rPr>
  </w:style>
  <w:style w:customStyle="1" w:styleId="Heading9Char" w:type="character">
    <w:name w:val="Heading 9 Char"/>
    <w:basedOn w:val="DefaultParagraphFont"/>
    <w:link w:val="Heading9"/>
    <w:uiPriority w:val="9"/>
    <w:rsid w:val="007B75F9"/>
    <w:rPr>
      <w:rFonts w:asciiTheme="majorHAnsi" w:cstheme="majorBidi" w:eastAsiaTheme="majorEastAsia" w:hAnsiTheme="majorHAnsi"/>
      <w:i/>
      <w:iCs/>
      <w:color w:themeColor="accent6" w:val="0A105D"/>
      <w:sz w:val="20"/>
      <w:szCs w:val="20"/>
    </w:rPr>
  </w:style>
  <w:style w:styleId="Title" w:type="paragraph">
    <w:name w:val="Title"/>
    <w:aliases w:val="Title EDPB doc"/>
    <w:basedOn w:val="Normal"/>
    <w:next w:val="Normal"/>
    <w:link w:val="TitleChar"/>
    <w:autoRedefine/>
    <w:uiPriority w:val="10"/>
    <w:qFormat/>
    <w:rsid w:val="00557DA5"/>
    <w:pPr>
      <w:spacing w:after="840" w:before="720" w:line="240" w:lineRule="auto"/>
      <w:ind w:left="227" w:right="227"/>
      <w:contextualSpacing/>
      <w:jc w:val="center"/>
      <w:outlineLvl w:val="0"/>
    </w:pPr>
    <w:rPr>
      <w:rFonts w:asciiTheme="majorHAnsi" w:cstheme="majorBidi" w:eastAsiaTheme="majorEastAsia" w:hAnsiTheme="majorHAnsi"/>
      <w:b/>
      <w:color w:val="002060"/>
      <w:spacing w:val="6"/>
      <w:sz w:val="40"/>
      <w:szCs w:val="64"/>
    </w:rPr>
  </w:style>
  <w:style w:customStyle="1" w:styleId="TitleChar" w:type="character">
    <w:name w:val="Title Char"/>
    <w:aliases w:val="Title EDPB doc Char"/>
    <w:basedOn w:val="DefaultParagraphFont"/>
    <w:link w:val="Title"/>
    <w:uiPriority w:val="10"/>
    <w:rsid w:val="00557DA5"/>
    <w:rPr>
      <w:rFonts w:asciiTheme="majorHAnsi" w:cstheme="majorBidi" w:eastAsiaTheme="majorEastAsia" w:hAnsiTheme="majorHAnsi"/>
      <w:b/>
      <w:color w:val="002060"/>
      <w:spacing w:val="6"/>
      <w:sz w:val="40"/>
      <w:szCs w:val="64"/>
    </w:rPr>
  </w:style>
  <w:style w:customStyle="1" w:styleId="Subtitle-EDPB" w:type="paragraph">
    <w:name w:val="Subtitle - EDPB"/>
    <w:next w:val="Normal"/>
    <w:autoRedefine/>
    <w:uiPriority w:val="1"/>
    <w:qFormat/>
    <w:rsid w:val="00557DA5"/>
    <w:rPr>
      <w:rFonts w:asciiTheme="majorHAnsi" w:cstheme="majorBidi" w:eastAsiaTheme="majorEastAsia" w:hAnsiTheme="majorHAnsi"/>
      <w:b/>
      <w:color w:val="002060"/>
      <w:spacing w:val="10"/>
      <w:sz w:val="32"/>
      <w:szCs w:val="64"/>
    </w:rPr>
  </w:style>
  <w:style w:customStyle="1" w:styleId="Subtitle2-EDPB" w:type="paragraph">
    <w:name w:val="Subtitle 2-EDPB"/>
    <w:next w:val="Normal"/>
    <w:autoRedefine/>
    <w:uiPriority w:val="1"/>
    <w:rsid w:val="000E559D"/>
    <w:rPr>
      <w:rFonts w:cs="Calibri" w:eastAsia="Times New Roman"/>
      <w:b/>
      <w:color w:themeColor="accent3" w:val="0A105D"/>
      <w:spacing w:val="8"/>
      <w:sz w:val="32"/>
      <w:szCs w:val="24"/>
    </w:rPr>
  </w:style>
  <w:style w:styleId="Strong" w:type="character">
    <w:name w:val="Strong"/>
    <w:aliases w:val="Strong - EDPB"/>
    <w:basedOn w:val="DefaultParagraphFont"/>
    <w:uiPriority w:val="22"/>
    <w:qFormat/>
    <w:rsid w:val="002A6295"/>
    <w:rPr>
      <w:rFonts w:ascii="Glory" w:hAnsi="Glory"/>
      <w:b/>
      <w:bCs/>
      <w:color w:themeColor="text1" w:val="000000"/>
      <w:sz w:val="22"/>
      <w:szCs w:val="22"/>
    </w:rPr>
  </w:style>
  <w:style w:styleId="Emphasis" w:type="character">
    <w:name w:val="Emphasis"/>
    <w:basedOn w:val="DefaultParagraphFont"/>
    <w:uiPriority w:val="2"/>
    <w:semiHidden/>
    <w:rsid w:val="00595B77"/>
    <w:rPr>
      <w:i/>
      <w:iCs/>
      <w:color w:themeColor="accent6" w:val="0A105D"/>
    </w:rPr>
  </w:style>
  <w:style w:styleId="NoSpacing" w:type="paragraph">
    <w:name w:val="No Spacing"/>
    <w:link w:val="NoSpacingChar"/>
    <w:uiPriority w:val="1"/>
    <w:unhideWhenUsed/>
    <w:qFormat/>
    <w:rsid w:val="00824179"/>
    <w:pPr>
      <w:spacing w:after="0" w:line="240" w:lineRule="auto"/>
    </w:pPr>
  </w:style>
  <w:style w:styleId="ListParagraph" w:type="paragraph">
    <w:name w:val="List Paragraph"/>
    <w:basedOn w:val="Normal"/>
    <w:uiPriority w:val="34"/>
    <w:qFormat/>
    <w:rsid w:val="00824179"/>
    <w:pPr>
      <w:ind w:left="720"/>
      <w:contextualSpacing/>
    </w:pPr>
  </w:style>
  <w:style w:styleId="Quote" w:type="paragraph">
    <w:name w:val="Quote"/>
    <w:basedOn w:val="Normal"/>
    <w:next w:val="Normal"/>
    <w:link w:val="QuoteChar"/>
    <w:uiPriority w:val="29"/>
    <w:rsid w:val="00824179"/>
    <w:pPr>
      <w:spacing w:before="160"/>
      <w:ind w:left="720" w:right="720"/>
      <w:jc w:val="center"/>
    </w:pPr>
    <w:rPr>
      <w:rFonts w:cstheme="minorBidi" w:eastAsiaTheme="minorEastAsia"/>
      <w:i/>
      <w:iCs/>
      <w:color w:themeColor="text1" w:themeTint="D9" w:val="262626"/>
      <w:sz w:val="21"/>
      <w:szCs w:val="21"/>
    </w:rPr>
  </w:style>
  <w:style w:customStyle="1" w:styleId="QuoteChar" w:type="character">
    <w:name w:val="Quote Char"/>
    <w:basedOn w:val="DefaultParagraphFont"/>
    <w:link w:val="Quote"/>
    <w:uiPriority w:val="29"/>
    <w:rsid w:val="00FE33F1"/>
    <w:rPr>
      <w:i/>
      <w:iCs/>
      <w:color w:themeColor="text1" w:themeTint="D9" w:val="262626"/>
    </w:rPr>
  </w:style>
  <w:style w:styleId="IntenseQuote" w:type="paragraph">
    <w:name w:val="Intense Quote"/>
    <w:basedOn w:val="Normal"/>
    <w:next w:val="Normal"/>
    <w:link w:val="IntenseQuoteChar"/>
    <w:uiPriority w:val="30"/>
    <w:rsid w:val="00824179"/>
    <w:pPr>
      <w:spacing w:before="160" w:line="264" w:lineRule="auto"/>
      <w:ind w:left="720" w:right="720"/>
      <w:jc w:val="center"/>
    </w:pPr>
    <w:rPr>
      <w:rFonts w:asciiTheme="majorHAnsi" w:cstheme="majorBidi" w:eastAsiaTheme="majorEastAsia" w:hAnsiTheme="majorHAnsi"/>
      <w:i/>
      <w:iCs/>
      <w:color w:themeColor="accent6" w:val="0A105D"/>
      <w:sz w:val="32"/>
      <w:szCs w:val="32"/>
    </w:rPr>
  </w:style>
  <w:style w:customStyle="1" w:styleId="IntenseQuoteChar" w:type="character">
    <w:name w:val="Intense Quote Char"/>
    <w:basedOn w:val="DefaultParagraphFont"/>
    <w:link w:val="IntenseQuote"/>
    <w:uiPriority w:val="30"/>
    <w:rsid w:val="00FE33F1"/>
    <w:rPr>
      <w:rFonts w:asciiTheme="majorHAnsi" w:cstheme="majorBidi" w:eastAsiaTheme="majorEastAsia" w:hAnsiTheme="majorHAnsi"/>
      <w:i/>
      <w:iCs/>
      <w:color w:themeColor="accent6" w:val="0A105D"/>
      <w:sz w:val="32"/>
      <w:szCs w:val="32"/>
    </w:rPr>
  </w:style>
  <w:style w:customStyle="1" w:styleId="Table2-EDPB" w:type="table">
    <w:name w:val="Table 2 - EDPB"/>
    <w:basedOn w:val="TableNormal"/>
    <w:uiPriority w:val="99"/>
    <w:rsid w:val="00E80001"/>
    <w:pPr>
      <w:spacing w:after="0" w:line="240" w:lineRule="auto"/>
    </w:pPr>
    <w:rPr>
      <w:sz w:val="20"/>
    </w:rPr>
    <w:tblPr>
      <w:tblBorders>
        <w:top w:color="0A105D" w:space="0" w:sz="4" w:themeColor="accent3" w:val="single"/>
        <w:left w:color="0A105D" w:space="0" w:sz="4" w:themeColor="accent3" w:val="single"/>
        <w:bottom w:color="0A105D" w:space="0" w:sz="4" w:themeColor="accent3" w:val="single"/>
        <w:right w:color="0A105D" w:space="0" w:sz="4" w:themeColor="accent3" w:val="single"/>
        <w:insideH w:color="0A105D" w:space="0" w:sz="4" w:themeColor="accent3" w:val="single"/>
        <w:insideV w:color="0A105D" w:space="0" w:sz="4" w:themeColor="accent3" w:val="single"/>
      </w:tblBorders>
    </w:tblPr>
    <w:tcPr>
      <w:shd w:color="auto" w:fill="auto" w:val="clear"/>
    </w:tcPr>
    <w:tblStylePr w:type="firstRow">
      <w:rPr>
        <w:b/>
        <w:sz w:val="22"/>
      </w:rPr>
      <w:tblPr/>
      <w:tcPr>
        <w:tcBorders>
          <w:top w:color="0A105D" w:space="0" w:sz="4" w:themeColor="accent3" w:val="single"/>
          <w:left w:color="0A105D" w:space="0" w:sz="4" w:themeColor="accent3" w:val="single"/>
          <w:bottom w:color="0A105D" w:space="0" w:sz="4" w:themeColor="accent3" w:val="single"/>
          <w:right w:color="0A105D" w:space="0" w:sz="4" w:themeColor="accent3" w:val="single"/>
          <w:insideH w:color="0A105D" w:space="0" w:sz="4" w:themeColor="accent3" w:val="single"/>
          <w:insideV w:color="0A105D" w:space="0" w:sz="4" w:themeColor="accent3" w:val="single"/>
        </w:tcBorders>
        <w:shd w:color="auto" w:fill="auto" w:val="clear"/>
      </w:tcPr>
    </w:tblStylePr>
  </w:style>
  <w:style w:styleId="IntenseEmphasis" w:type="character">
    <w:name w:val="Intense Emphasis"/>
    <w:aliases w:val="Instruction - EDPB"/>
    <w:basedOn w:val="DefaultParagraphFont"/>
    <w:uiPriority w:val="5"/>
    <w:qFormat/>
    <w:rsid w:val="00E67185"/>
    <w:rPr>
      <w:rFonts w:ascii="Glory" w:hAnsi="Glory"/>
      <w:bCs/>
      <w:iCs/>
      <w:color w:val="CC3300"/>
      <w:sz w:val="18"/>
    </w:rPr>
  </w:style>
  <w:style w:styleId="SubtleReference" w:type="character">
    <w:name w:val="Subtle Reference"/>
    <w:basedOn w:val="DefaultParagraphFont"/>
    <w:uiPriority w:val="31"/>
    <w:rsid w:val="00824179"/>
    <w:rPr>
      <w:smallCaps/>
      <w:color w:themeColor="text1" w:themeTint="A6" w:val="595959"/>
    </w:rPr>
  </w:style>
  <w:style w:styleId="IntenseReference" w:type="character">
    <w:name w:val="Intense Reference"/>
    <w:basedOn w:val="DefaultParagraphFont"/>
    <w:uiPriority w:val="32"/>
    <w:rsid w:val="00824179"/>
    <w:rPr>
      <w:b/>
      <w:bCs/>
      <w:smallCaps/>
      <w:color w:themeColor="accent6" w:val="0A105D"/>
    </w:rPr>
  </w:style>
  <w:style w:styleId="TOCHeading" w:type="paragraph">
    <w:name w:val="TOC Heading"/>
    <w:basedOn w:val="Heading1"/>
    <w:next w:val="Normal"/>
    <w:uiPriority w:val="39"/>
    <w:qFormat/>
    <w:rsid w:val="00595B77"/>
    <w:pPr>
      <w:outlineLvl w:val="9"/>
    </w:pPr>
  </w:style>
  <w:style w:styleId="ListTable1Light-Accent4" w:type="table">
    <w:name w:val="List Table 1 Light Accent 4"/>
    <w:basedOn w:val="TableNormal"/>
    <w:uiPriority w:val="46"/>
    <w:rsid w:val="0047378B"/>
    <w:pPr>
      <w:spacing w:after="0" w:line="240" w:lineRule="auto"/>
    </w:pPr>
    <w:tblPr>
      <w:tblStyleRowBandSize w:val="1"/>
      <w:tblStyleColBandSize w:val="1"/>
    </w:tblPr>
    <w:tblStylePr w:type="firstRow">
      <w:rPr>
        <w:b/>
        <w:bCs/>
      </w:rPr>
      <w:tblPr/>
      <w:tcPr>
        <w:tcBorders>
          <w:bottom w:color="9EDAFA" w:space="0" w:sz="4" w:themeColor="accent4" w:themeTint="99" w:val="single"/>
        </w:tcBorders>
      </w:tcPr>
    </w:tblStylePr>
    <w:tblStylePr w:type="lastRow">
      <w:rPr>
        <w:b/>
        <w:bCs/>
      </w:rPr>
      <w:tblPr/>
      <w:tcPr>
        <w:tcBorders>
          <w:top w:color="9EDAFA" w:space="0" w:sz="4" w:themeColor="accent4" w:themeTint="99" w:val="single"/>
        </w:tcBorders>
      </w:tcPr>
    </w:tblStylePr>
    <w:tblStylePr w:type="firstCol">
      <w:rPr>
        <w:b/>
        <w:bCs/>
      </w:rPr>
    </w:tblStylePr>
    <w:tblStylePr w:type="lastCol">
      <w:rPr>
        <w:b/>
        <w:bCs/>
      </w:rPr>
    </w:tblStylePr>
    <w:tblStylePr w:type="band1Vert">
      <w:tblPr/>
      <w:tcPr>
        <w:shd w:color="auto" w:fill="DEF2FD" w:themeFill="accent4" w:themeFillTint="33" w:val="clear"/>
      </w:tcPr>
    </w:tblStylePr>
    <w:tblStylePr w:type="band1Horz">
      <w:tblPr/>
      <w:tcPr>
        <w:shd w:color="auto" w:fill="DEF2FD" w:themeFill="accent4" w:themeFillTint="33" w:val="clear"/>
      </w:tcPr>
    </w:tblStylePr>
  </w:style>
  <w:style w:styleId="TableGrid" w:type="table">
    <w:name w:val="Table Grid"/>
    <w:aliases w:val="Table 1 - EDPB"/>
    <w:basedOn w:val="TableNormal"/>
    <w:uiPriority w:val="59"/>
    <w:rsid w:val="009A25EE"/>
    <w:rPr>
      <w:sz w:val="22"/>
    </w:rPr>
    <w:tblPr>
      <w:tblStyleRowBandSize w:val="1"/>
      <w:tblBorders>
        <w:right w:color="0A105D" w:space="0" w:sz="4" w:themeColor="accent1" w:val="single"/>
        <w:insideV w:color="0A105D" w:space="0" w:sz="4" w:themeColor="accent1" w:val="single"/>
      </w:tblBorders>
    </w:tblPr>
    <w:tcPr>
      <w:shd w:color="auto" w:fill="auto" w:val="clear"/>
    </w:tcPr>
    <w:tblStylePr w:type="firstRow">
      <w:rPr>
        <w:rFonts w:ascii="Glory" w:hAnsi="Glory"/>
        <w:b/>
        <w:sz w:val="22"/>
      </w:rPr>
      <w:tblPr/>
      <w:tcPr>
        <w:tcBorders>
          <w:top w:val="nil"/>
          <w:left w:val="nil"/>
          <w:bottom w:val="nil"/>
          <w:right w:val="nil"/>
          <w:insideH w:val="nil"/>
          <w:insideV w:color="000000" w:space="0" w:sz="4" w:themeColor="accent5" w:val="single"/>
          <w:tl2br w:val="nil"/>
          <w:tr2bl w:val="nil"/>
        </w:tcBorders>
        <w:shd w:color="auto" w:fill="auto" w:val="clear"/>
      </w:tcPr>
    </w:tblStylePr>
    <w:tblStylePr w:type="band1Horz">
      <w:rPr>
        <w:rFonts w:ascii="Glory" w:hAnsi="Glory"/>
        <w:sz w:val="22"/>
      </w:rPr>
      <w:tblPr/>
      <w:tcPr>
        <w:tcBorders>
          <w:top w:val="nil"/>
          <w:left w:val="nil"/>
          <w:bottom w:val="nil"/>
          <w:right w:val="nil"/>
          <w:insideH w:color="0A105D" w:space="0" w:sz="8" w:themeColor="accent1" w:val="single"/>
          <w:insideV w:color="0A105D" w:space="0" w:sz="8" w:themeColor="accent1" w:val="single"/>
          <w:tl2br w:val="nil"/>
          <w:tr2bl w:val="nil"/>
        </w:tcBorders>
        <w:shd w:color="auto" w:fill="E9ECEB" w:themeFill="background2" w:val="clear"/>
      </w:tcPr>
    </w:tblStylePr>
    <w:tblStylePr w:type="band2Horz">
      <w:tblPr/>
      <w:tcPr>
        <w:tcBorders>
          <w:top w:val="nil"/>
          <w:left w:val="nil"/>
          <w:bottom w:val="nil"/>
          <w:right w:val="nil"/>
          <w:insideH w:color="0A105D" w:space="0" w:sz="8" w:themeColor="accent6" w:val="single"/>
          <w:insideV w:color="0A105D" w:space="0" w:sz="8" w:themeColor="accent6" w:val="single"/>
        </w:tcBorders>
        <w:shd w:color="auto" w:fill="FFFFFF" w:themeFill="background1" w:val="clear"/>
      </w:tcPr>
    </w:tblStylePr>
  </w:style>
  <w:style w:styleId="Hyperlink" w:type="character">
    <w:name w:val="Hyperlink"/>
    <w:aliases w:val="Hyperlink-EDPB"/>
    <w:basedOn w:val="DefaultParagraphFont"/>
    <w:uiPriority w:val="99"/>
    <w:qFormat/>
    <w:rsid w:val="00081837"/>
    <w:rPr>
      <w:rFonts w:cs="Times New Roman"/>
      <w:color w:themeColor="hyperlink" w:val="08149C"/>
      <w:u w:val="single"/>
    </w:rPr>
  </w:style>
  <w:style w:styleId="FootnoteText" w:type="paragraph">
    <w:name w:val="footnote text"/>
    <w:aliases w:val="Footnote Text - EDPB"/>
    <w:basedOn w:val="Normal"/>
    <w:link w:val="FootnoteTextChar"/>
    <w:autoRedefine/>
    <w:uiPriority w:val="99"/>
    <w:qFormat/>
    <w:rsid w:val="00824179"/>
    <w:pPr>
      <w:spacing w:after="0" w:before="0"/>
      <w:jc w:val="left"/>
    </w:pPr>
    <w:rPr>
      <w:sz w:val="16"/>
      <w:szCs w:val="20"/>
    </w:rPr>
  </w:style>
  <w:style w:customStyle="1" w:styleId="FootnoteTextChar" w:type="character">
    <w:name w:val="Footnote Text Char"/>
    <w:aliases w:val="Footnote Text - EDPB Char"/>
    <w:basedOn w:val="DefaultParagraphFont"/>
    <w:link w:val="FootnoteText"/>
    <w:uiPriority w:val="99"/>
    <w:rsid w:val="00FE33F1"/>
    <w:rPr>
      <w:rFonts w:cs="Calibri" w:eastAsia="Times New Roman"/>
      <w:color w:themeColor="text1" w:val="000000"/>
      <w:sz w:val="16"/>
      <w:szCs w:val="20"/>
    </w:rPr>
  </w:style>
  <w:style w:styleId="FootnoteReference" w:type="character">
    <w:name w:val="footnote reference"/>
    <w:basedOn w:val="DefaultParagraphFont"/>
    <w:uiPriority w:val="99"/>
    <w:rsid w:val="00081837"/>
    <w:rPr>
      <w:rFonts w:cs="Times New Roman"/>
      <w:vertAlign w:val="superscript"/>
    </w:rPr>
  </w:style>
  <w:style w:customStyle="1" w:styleId="NumberedExampleinabox-EDPB" w:type="paragraph">
    <w:name w:val="Numbered Example in a box - EDPB"/>
    <w:basedOn w:val="Normal"/>
    <w:link w:val="NumberedExampleinabox-EDPBChar"/>
    <w:autoRedefine/>
    <w:uiPriority w:val="3"/>
    <w:qFormat/>
    <w:rsid w:val="00824179"/>
    <w:pPr>
      <w:numPr>
        <w:numId w:val="1"/>
      </w:numPr>
      <w:pBdr>
        <w:top w:color="0A105D" w:space="1" w:sz="12" w:themeColor="accent6" w:val="single"/>
        <w:bottom w:color="0A105D" w:space="1" w:sz="12" w:themeColor="accent6" w:val="single"/>
      </w:pBdr>
      <w:tabs>
        <w:tab w:pos="993" w:val="left"/>
        <w:tab w:pos="1701" w:val="left"/>
      </w:tabs>
      <w:ind w:hanging="1247" w:left="1672"/>
    </w:pPr>
    <w:rPr>
      <w:szCs w:val="22"/>
    </w:rPr>
  </w:style>
  <w:style w:customStyle="1" w:styleId="NumberedExampleinabox-EDPBChar" w:type="character">
    <w:name w:val="Numbered Example in a box - EDPB Char"/>
    <w:basedOn w:val="DefaultParagraphFont"/>
    <w:link w:val="NumberedExampleinabox-EDPB"/>
    <w:uiPriority w:val="3"/>
    <w:locked/>
    <w:rsid w:val="007B75F9"/>
    <w:rPr>
      <w:rFonts w:ascii="Glory" w:cs="Calibri" w:eastAsia="Times New Roman" w:hAnsi="Glory"/>
      <w:color w:themeColor="text1" w:val="000000"/>
      <w:sz w:val="22"/>
      <w:szCs w:val="22"/>
    </w:rPr>
  </w:style>
  <w:style w:styleId="TOC2" w:type="paragraph">
    <w:name w:val="toc 2"/>
    <w:basedOn w:val="Normal"/>
    <w:next w:val="Normal"/>
    <w:autoRedefine/>
    <w:uiPriority w:val="39"/>
    <w:rsid w:val="00BB6F65"/>
    <w:pPr>
      <w:tabs>
        <w:tab w:pos="880" w:val="left"/>
        <w:tab w:leader="dot" w:pos="9016" w:val="right"/>
      </w:tabs>
      <w:spacing w:after="100"/>
      <w:ind w:left="567"/>
    </w:pPr>
  </w:style>
  <w:style w:styleId="Caption" w:type="paragraph">
    <w:name w:val="caption"/>
    <w:aliases w:val="Caption images - EDPB"/>
    <w:basedOn w:val="Normal"/>
    <w:next w:val="Normal"/>
    <w:autoRedefine/>
    <w:uiPriority w:val="35"/>
    <w:qFormat/>
    <w:rsid w:val="00E80001"/>
    <w:pPr>
      <w:spacing w:before="0" w:line="240" w:lineRule="auto"/>
      <w:ind w:left="284"/>
      <w:jc w:val="left"/>
    </w:pPr>
    <w:rPr>
      <w:bCs/>
      <w:spacing w:val="4"/>
      <w:sz w:val="18"/>
    </w:rPr>
  </w:style>
  <w:style w:customStyle="1" w:styleId="Numberedparagraph-EDPB" w:type="paragraph">
    <w:name w:val="Numbered paragraph - EDPB"/>
    <w:basedOn w:val="NumberedParagraph"/>
    <w:link w:val="Numberedparagraph-EDPBChar"/>
    <w:uiPriority w:val="3"/>
    <w:qFormat/>
    <w:rsid w:val="00B3739D"/>
    <w:pPr>
      <w:numPr>
        <w:numId w:val="3"/>
      </w:numPr>
      <w:ind w:hanging="567" w:left="0"/>
    </w:pPr>
  </w:style>
  <w:style w:customStyle="1" w:styleId="NumberedParagraph" w:type="paragraph">
    <w:name w:val="Numbered Paragraph"/>
    <w:basedOn w:val="Normal"/>
    <w:autoRedefine/>
    <w:qFormat/>
    <w:rsid w:val="007A17E8"/>
    <w:pPr>
      <w:numPr>
        <w:numId w:val="2"/>
      </w:numPr>
    </w:pPr>
  </w:style>
  <w:style w:customStyle="1" w:styleId="Numberedparagraph-EDPBChar" w:type="character">
    <w:name w:val="Numbered paragraph - EDPB Char"/>
    <w:basedOn w:val="DefaultParagraphFont"/>
    <w:link w:val="Numberedparagraph-EDPB"/>
    <w:uiPriority w:val="3"/>
    <w:rsid w:val="00B3739D"/>
    <w:rPr>
      <w:rFonts w:ascii="Glory" w:cs="Calibri" w:eastAsia="Times New Roman" w:hAnsi="Glory"/>
      <w:color w:themeColor="text1" w:val="000000"/>
      <w:sz w:val="22"/>
      <w:szCs w:val="24"/>
    </w:rPr>
  </w:style>
  <w:style w:styleId="Header" w:type="paragraph">
    <w:name w:val="header"/>
    <w:basedOn w:val="Normal"/>
    <w:link w:val="HeaderChar"/>
    <w:uiPriority w:val="99"/>
    <w:rsid w:val="00690B21"/>
    <w:pPr>
      <w:tabs>
        <w:tab w:pos="4513" w:val="center"/>
        <w:tab w:pos="9026" w:val="right"/>
      </w:tabs>
      <w:spacing w:after="0" w:line="240" w:lineRule="auto"/>
    </w:pPr>
  </w:style>
  <w:style w:customStyle="1" w:styleId="HeaderChar" w:type="character">
    <w:name w:val="Header Char"/>
    <w:basedOn w:val="DefaultParagraphFont"/>
    <w:link w:val="Header"/>
    <w:uiPriority w:val="99"/>
    <w:rsid w:val="00FE33F1"/>
    <w:rPr>
      <w:rFonts w:cs="Calibri" w:eastAsia="Times New Roman"/>
      <w:color w:themeColor="text1" w:val="000000"/>
      <w:sz w:val="22"/>
      <w:szCs w:val="24"/>
    </w:rPr>
  </w:style>
  <w:style w:styleId="Footer" w:type="paragraph">
    <w:name w:val="footer"/>
    <w:basedOn w:val="Normal"/>
    <w:link w:val="FooterChar"/>
    <w:uiPriority w:val="99"/>
    <w:rsid w:val="00690B21"/>
    <w:pPr>
      <w:tabs>
        <w:tab w:pos="4513" w:val="center"/>
        <w:tab w:pos="9026" w:val="right"/>
      </w:tabs>
      <w:spacing w:after="0" w:line="240" w:lineRule="auto"/>
    </w:pPr>
  </w:style>
  <w:style w:customStyle="1" w:styleId="FooterChar" w:type="character">
    <w:name w:val="Footer Char"/>
    <w:basedOn w:val="DefaultParagraphFont"/>
    <w:link w:val="Footer"/>
    <w:uiPriority w:val="99"/>
    <w:rsid w:val="00FE33F1"/>
    <w:rPr>
      <w:rFonts w:cs="Calibri" w:eastAsia="Times New Roman"/>
      <w:color w:themeColor="text1" w:val="000000"/>
      <w:sz w:val="22"/>
      <w:szCs w:val="24"/>
    </w:rPr>
  </w:style>
  <w:style w:styleId="PlaceholderText" w:type="character">
    <w:name w:val="Placeholder Text"/>
    <w:basedOn w:val="DefaultParagraphFont"/>
    <w:uiPriority w:val="99"/>
    <w:rsid w:val="002321F7"/>
    <w:rPr>
      <w:color w:val="808080"/>
    </w:rPr>
  </w:style>
  <w:style w:customStyle="1" w:styleId="FooterEDPB" w:type="paragraph">
    <w:name w:val="Footer EDPB"/>
    <w:basedOn w:val="Footer"/>
    <w:link w:val="FooterEDPBChar"/>
    <w:uiPriority w:val="4"/>
    <w:qFormat/>
    <w:rsid w:val="00824179"/>
    <w:rPr>
      <w:color w:themeColor="text2" w:val="0A105D"/>
      <w:sz w:val="18"/>
      <w:szCs w:val="18"/>
    </w:rPr>
  </w:style>
  <w:style w:customStyle="1" w:styleId="FooterEDPBChar" w:type="character">
    <w:name w:val="Footer EDPB Char"/>
    <w:basedOn w:val="FooterChar"/>
    <w:link w:val="FooterEDPB"/>
    <w:uiPriority w:val="4"/>
    <w:rsid w:val="007B75F9"/>
    <w:rPr>
      <w:rFonts w:ascii="Glory" w:cs="Calibri" w:eastAsia="Times New Roman" w:hAnsi="Glory"/>
      <w:color w:themeColor="text2" w:val="0A105D"/>
      <w:sz w:val="18"/>
      <w:szCs w:val="18"/>
    </w:rPr>
  </w:style>
  <w:style w:styleId="CommentReference" w:type="character">
    <w:name w:val="annotation reference"/>
    <w:basedOn w:val="DefaultParagraphFont"/>
    <w:uiPriority w:val="99"/>
    <w:rsid w:val="00924240"/>
    <w:rPr>
      <w:rFonts w:cs="Times New Roman"/>
      <w:sz w:val="16"/>
      <w:szCs w:val="16"/>
    </w:rPr>
  </w:style>
  <w:style w:styleId="CommentText" w:type="paragraph">
    <w:name w:val="annotation text"/>
    <w:basedOn w:val="Normal"/>
    <w:link w:val="CommentTextChar"/>
    <w:uiPriority w:val="99"/>
    <w:rsid w:val="00924240"/>
    <w:pPr>
      <w:spacing w:after="160" w:before="0" w:line="240" w:lineRule="auto"/>
      <w:jc w:val="left"/>
    </w:pPr>
    <w:rPr>
      <w:rFonts w:cs="Times New Roman"/>
      <w:color w:val="auto"/>
      <w:sz w:val="20"/>
      <w:szCs w:val="20"/>
    </w:rPr>
  </w:style>
  <w:style w:customStyle="1" w:styleId="CommentTextChar" w:type="character">
    <w:name w:val="Comment Text Char"/>
    <w:basedOn w:val="DefaultParagraphFont"/>
    <w:link w:val="CommentText"/>
    <w:uiPriority w:val="99"/>
    <w:rsid w:val="00FE33F1"/>
    <w:rPr>
      <w:rFonts w:cs="Times New Roman" w:eastAsia="Times New Roman"/>
      <w:sz w:val="20"/>
      <w:szCs w:val="20"/>
    </w:rPr>
  </w:style>
  <w:style w:customStyle="1" w:styleId="NoSpacingChar" w:type="character">
    <w:name w:val="No Spacing Char"/>
    <w:basedOn w:val="DefaultParagraphFont"/>
    <w:link w:val="NoSpacing"/>
    <w:uiPriority w:val="1"/>
    <w:locked/>
    <w:rsid w:val="007B75F9"/>
  </w:style>
  <w:style w:styleId="TOC1" w:type="paragraph">
    <w:name w:val="toc 1"/>
    <w:basedOn w:val="Normal"/>
    <w:next w:val="Normal"/>
    <w:link w:val="TOC1Char"/>
    <w:autoRedefine/>
    <w:uiPriority w:val="39"/>
    <w:qFormat/>
    <w:rsid w:val="00824272"/>
    <w:pPr>
      <w:tabs>
        <w:tab w:pos="567" w:val="left"/>
        <w:tab w:leader="dot" w:pos="9016" w:val="right"/>
      </w:tabs>
      <w:spacing w:after="100"/>
      <w:jc w:val="left"/>
    </w:pPr>
    <w:rPr>
      <w:b/>
      <w:color w:themeColor="text2" w:val="0A105D"/>
    </w:rPr>
  </w:style>
  <w:style w:styleId="BalloonText" w:type="paragraph">
    <w:name w:val="Balloon Text"/>
    <w:basedOn w:val="Normal"/>
    <w:link w:val="BalloonTextChar"/>
    <w:uiPriority w:val="99"/>
    <w:rsid w:val="00924240"/>
    <w:pPr>
      <w:spacing w:after="0" w:before="0" w:line="240" w:lineRule="auto"/>
    </w:pPr>
    <w:rPr>
      <w:rFonts w:ascii="Segoe UI" w:cs="Segoe UI" w:hAnsi="Segoe UI"/>
      <w:sz w:val="18"/>
      <w:szCs w:val="18"/>
    </w:rPr>
  </w:style>
  <w:style w:customStyle="1" w:styleId="BalloonTextChar" w:type="character">
    <w:name w:val="Balloon Text Char"/>
    <w:basedOn w:val="DefaultParagraphFont"/>
    <w:link w:val="BalloonText"/>
    <w:uiPriority w:val="99"/>
    <w:rsid w:val="00FE33F1"/>
    <w:rPr>
      <w:rFonts w:ascii="Segoe UI" w:cs="Segoe UI" w:eastAsia="Times New Roman" w:hAnsi="Segoe UI"/>
      <w:color w:themeColor="text1" w:val="000000"/>
      <w:sz w:val="18"/>
      <w:szCs w:val="18"/>
    </w:rPr>
  </w:style>
  <w:style w:customStyle="1" w:styleId="TextInABox" w:type="paragraph">
    <w:name w:val="TextInABox"/>
    <w:basedOn w:val="Normal"/>
    <w:unhideWhenUsed/>
    <w:qFormat/>
    <w:rsid w:val="0025330E"/>
    <w:pPr>
      <w:pBdr>
        <w:top w:color="auto" w:space="1" w:sz="4" w:val="single"/>
        <w:left w:color="auto" w:space="4" w:sz="4" w:val="single"/>
        <w:bottom w:color="auto" w:space="1" w:sz="4" w:val="single"/>
        <w:right w:color="auto" w:space="4" w:sz="4" w:val="single"/>
      </w:pBdr>
      <w:spacing w:after="160" w:before="0"/>
    </w:pPr>
    <w:rPr>
      <w:rFonts w:cs="Times New Roman"/>
      <w:color w:val="auto"/>
      <w:szCs w:val="22"/>
    </w:rPr>
  </w:style>
  <w:style w:customStyle="1" w:styleId="UnnumberedSectionHeader" w:type="paragraph">
    <w:name w:val="UnnumberedSectionHeader"/>
    <w:basedOn w:val="Normal"/>
    <w:link w:val="UnnumberedSectionHeaderChar"/>
    <w:unhideWhenUsed/>
    <w:qFormat/>
    <w:rsid w:val="00824179"/>
    <w:pPr>
      <w:spacing w:after="160" w:before="240"/>
    </w:pPr>
    <w:rPr>
      <w:rFonts w:cs="Times New Roman"/>
      <w:i/>
      <w:color w:val="auto"/>
      <w:szCs w:val="22"/>
      <w:u w:val="single"/>
    </w:rPr>
  </w:style>
  <w:style w:customStyle="1" w:styleId="UnnumberedSectionHeaderChar" w:type="character">
    <w:name w:val="UnnumberedSectionHeader Char"/>
    <w:basedOn w:val="DefaultParagraphFont"/>
    <w:link w:val="UnnumberedSectionHeader"/>
    <w:locked/>
    <w:rsid w:val="007B75F9"/>
    <w:rPr>
      <w:rFonts w:ascii="Glory" w:cs="Times New Roman" w:eastAsia="Times New Roman" w:hAnsi="Glory"/>
      <w:i/>
      <w:sz w:val="22"/>
      <w:szCs w:val="22"/>
      <w:u w:val="single"/>
    </w:rPr>
  </w:style>
  <w:style w:customStyle="1" w:styleId="StarSpacer" w:type="paragraph">
    <w:name w:val="StarSpacer"/>
    <w:basedOn w:val="ListParagraph"/>
    <w:link w:val="StarSpacerChar"/>
    <w:unhideWhenUsed/>
    <w:qFormat/>
    <w:rsid w:val="00824179"/>
    <w:pPr>
      <w:spacing w:after="240" w:before="240"/>
      <w:ind w:left="0"/>
      <w:jc w:val="center"/>
    </w:pPr>
    <w:rPr>
      <w:rFonts w:cs="Times New Roman"/>
      <w:color w:val="auto"/>
      <w:szCs w:val="22"/>
    </w:rPr>
  </w:style>
  <w:style w:customStyle="1" w:styleId="StarSpacerChar" w:type="character">
    <w:name w:val="StarSpacer Char"/>
    <w:basedOn w:val="DefaultParagraphFont"/>
    <w:link w:val="StarSpacer"/>
    <w:locked/>
    <w:rsid w:val="007B75F9"/>
    <w:rPr>
      <w:rFonts w:ascii="Glory" w:cs="Times New Roman" w:eastAsia="Times New Roman" w:hAnsi="Glory"/>
      <w:sz w:val="22"/>
      <w:szCs w:val="22"/>
    </w:rPr>
  </w:style>
  <w:style w:styleId="TOC3" w:type="paragraph">
    <w:name w:val="toc 3"/>
    <w:basedOn w:val="Normal"/>
    <w:next w:val="Normal"/>
    <w:autoRedefine/>
    <w:uiPriority w:val="39"/>
    <w:rsid w:val="00BB6F65"/>
    <w:pPr>
      <w:tabs>
        <w:tab w:pos="1320" w:val="left"/>
        <w:tab w:leader="dot" w:pos="9016" w:val="right"/>
      </w:tabs>
      <w:spacing w:after="100"/>
      <w:ind w:left="794"/>
    </w:pPr>
  </w:style>
  <w:style w:customStyle="1" w:styleId="TOC1Char" w:type="character">
    <w:name w:val="TOC 1 Char"/>
    <w:basedOn w:val="DefaultParagraphFont"/>
    <w:link w:val="TOC1"/>
    <w:uiPriority w:val="39"/>
    <w:rsid w:val="00FE33F1"/>
    <w:rPr>
      <w:rFonts w:cs="Calibri" w:eastAsia="Times New Roman"/>
      <w:b/>
      <w:color w:themeColor="text2" w:val="0A105D"/>
      <w:sz w:val="22"/>
      <w:szCs w:val="24"/>
    </w:rPr>
  </w:style>
  <w:style w:styleId="PlainTable3" w:type="table">
    <w:name w:val="Plain Table 3"/>
    <w:basedOn w:val="TableNormal"/>
    <w:uiPriority w:val="43"/>
    <w:rsid w:val="0047378B"/>
    <w:pPr>
      <w:spacing w:after="0" w:line="240" w:lineRule="auto"/>
    </w:pPr>
    <w:tblPr>
      <w:tblStyleRowBandSize w:val="1"/>
      <w:tblStyleColBandSize w:val="1"/>
    </w:tblPr>
    <w:tblStylePr w:type="firstRow">
      <w:rPr>
        <w:b/>
        <w:bCs/>
        <w:caps/>
      </w:rPr>
      <w:tblPr/>
      <w:tcPr>
        <w:tcBorders>
          <w:bottom w:color="7F7F7F" w:space="0" w:sz="4" w:themeColor="text1" w:themeTint="80" w:val="single"/>
        </w:tcBorders>
      </w:tcPr>
    </w:tblStylePr>
    <w:tblStylePr w:type="lastRow">
      <w:rPr>
        <w:b/>
        <w:bCs/>
        <w:caps/>
      </w:rPr>
      <w:tblPr/>
      <w:tcPr>
        <w:tcBorders>
          <w:top w:val="nil"/>
        </w:tcBorders>
      </w:tcPr>
    </w:tblStylePr>
    <w:tblStylePr w:type="firstCol">
      <w:rPr>
        <w:b/>
        <w:bCs/>
        <w:caps/>
      </w:rPr>
      <w:tblPr/>
      <w:tcPr>
        <w:tcBorders>
          <w:right w:color="7F7F7F" w:space="0" w:sz="4" w:themeColor="text1" w:themeTint="80" w:val="single"/>
        </w:tcBorders>
      </w:tcPr>
    </w:tblStylePr>
    <w:tblStylePr w:type="lastCol">
      <w:rPr>
        <w:b/>
        <w:bCs/>
        <w:caps/>
      </w:rPr>
      <w:tblPr/>
      <w:tcPr>
        <w:tcBorders>
          <w:left w:val="nil"/>
        </w:tcBorders>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style>
  <w:style w:styleId="TOC4" w:type="paragraph">
    <w:name w:val="toc 4"/>
    <w:basedOn w:val="Normal"/>
    <w:next w:val="Normal"/>
    <w:autoRedefine/>
    <w:uiPriority w:val="39"/>
    <w:rsid w:val="00BB6F65"/>
    <w:pPr>
      <w:spacing w:after="100"/>
      <w:ind w:left="720"/>
    </w:pPr>
  </w:style>
  <w:style w:customStyle="1" w:styleId="Listbullets-EDPB" w:type="paragraph">
    <w:name w:val="List bullets - EDPB"/>
    <w:basedOn w:val="ListParagraph"/>
    <w:next w:val="Normal"/>
    <w:uiPriority w:val="3"/>
    <w:qFormat/>
    <w:rsid w:val="00AA2554"/>
    <w:pPr>
      <w:numPr>
        <w:numId w:val="4"/>
      </w:numPr>
    </w:pPr>
  </w:style>
  <w:style w:styleId="GridTable2-Accent3" w:type="table">
    <w:name w:val="Grid Table 2 Accent 3"/>
    <w:basedOn w:val="TableNormal"/>
    <w:uiPriority w:val="47"/>
    <w:rsid w:val="00AA2554"/>
    <w:pPr>
      <w:spacing w:after="0" w:line="240" w:lineRule="auto"/>
    </w:pPr>
    <w:tblPr>
      <w:tblStyleRowBandSize w:val="1"/>
      <w:tblStyleColBandSize w:val="1"/>
      <w:tblBorders>
        <w:top w:color="2230E7" w:space="0" w:sz="2" w:themeColor="accent3" w:themeTint="99" w:val="single"/>
        <w:bottom w:color="2230E7" w:space="0" w:sz="2" w:themeColor="accent3" w:themeTint="99" w:val="single"/>
        <w:insideH w:color="2230E7" w:space="0" w:sz="2" w:themeColor="accent3" w:themeTint="99" w:val="single"/>
        <w:insideV w:color="2230E7" w:space="0" w:sz="2" w:themeColor="accent3" w:themeTint="99" w:val="single"/>
      </w:tblBorders>
    </w:tblPr>
    <w:tblStylePr w:type="firstRow">
      <w:rPr>
        <w:b/>
        <w:bCs/>
      </w:rPr>
      <w:tblPr/>
      <w:tcPr>
        <w:tcBorders>
          <w:top w:val="nil"/>
          <w:bottom w:color="2230E7" w:space="0" w:sz="12" w:themeColor="accent3" w:themeTint="99" w:val="single"/>
          <w:insideH w:val="nil"/>
          <w:insideV w:val="nil"/>
        </w:tcBorders>
        <w:shd w:color="auto" w:fill="FFFFFF" w:themeFill="background1" w:val="clear"/>
      </w:tcPr>
    </w:tblStylePr>
    <w:tblStylePr w:type="lastRow">
      <w:rPr>
        <w:b/>
        <w:bCs/>
      </w:rPr>
      <w:tblPr/>
      <w:tcPr>
        <w:tcBorders>
          <w:top w:color="2230E7" w:space="0" w:sz="2" w:themeColor="accent3"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B5B9F7" w:themeFill="accent3" w:themeFillTint="33" w:val="clear"/>
      </w:tcPr>
    </w:tblStylePr>
    <w:tblStylePr w:type="band1Horz">
      <w:tblPr/>
      <w:tcPr>
        <w:shd w:color="auto" w:fill="B5B9F7" w:themeFill="accent3" w:themeFillTint="33" w:val="clear"/>
      </w:tcPr>
    </w:tblStylePr>
  </w:style>
  <w:style w:customStyle="1" w:styleId="Listofnumbers-EDPB" w:type="paragraph">
    <w:name w:val="List of numbers - EDPB"/>
    <w:basedOn w:val="Listbullets-EDPB"/>
    <w:next w:val="Normal"/>
    <w:autoRedefine/>
    <w:uiPriority w:val="3"/>
    <w:qFormat/>
    <w:rsid w:val="00446B6F"/>
    <w:pPr>
      <w:numPr>
        <w:numId w:val="5"/>
      </w:numPr>
    </w:pPr>
  </w:style>
  <w:style w:customStyle="1" w:styleId="Editorialinfo-version" w:type="paragraph">
    <w:name w:val="Editorial info - version"/>
    <w:aliases w:val="date-EDPB"/>
    <w:autoRedefine/>
    <w:uiPriority w:val="1"/>
    <w:qFormat/>
    <w:rsid w:val="00557DA5"/>
    <w:pPr>
      <w:jc w:val="center"/>
    </w:pPr>
    <w:rPr>
      <w:rFonts w:cs="Calibri" w:eastAsia="Times New Roman"/>
      <w:color w:themeColor="text2" w:val="0A105D"/>
      <w:sz w:val="28"/>
      <w:szCs w:val="32"/>
    </w:rPr>
  </w:style>
  <w:style w:styleId="GridTable5Dark-Accent1" w:type="table">
    <w:name w:val="Grid Table 5 Dark Accent 1"/>
    <w:basedOn w:val="TableNormal"/>
    <w:uiPriority w:val="50"/>
    <w:rsid w:val="0065506B"/>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B5B9F7" w:themeFill="accent1"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A105D" w:themeFill="accent1"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A105D" w:themeFill="accent1"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A105D" w:themeFill="accent1"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A105D" w:themeFill="accent1" w:val="clear"/>
      </w:tcPr>
    </w:tblStylePr>
    <w:tblStylePr w:type="band1Vert">
      <w:tblPr/>
      <w:tcPr>
        <w:shd w:color="auto" w:fill="6B75EF" w:themeFill="accent1" w:themeFillTint="66" w:val="clear"/>
      </w:tcPr>
    </w:tblStylePr>
    <w:tblStylePr w:type="band1Horz">
      <w:tblPr/>
      <w:tcPr>
        <w:shd w:color="auto" w:fill="6B75EF" w:themeFill="accent1" w:themeFillTint="66" w:val="clear"/>
      </w:tcPr>
    </w:tblStylePr>
  </w:style>
  <w:style w:styleId="PlainTable5" w:type="table">
    <w:name w:val="Plain Table 5"/>
    <w:aliases w:val="Table 3 - EDPB"/>
    <w:basedOn w:val="TableNormal"/>
    <w:uiPriority w:val="45"/>
    <w:rsid w:val="009A25EE"/>
    <w:pPr>
      <w:spacing w:after="0" w:line="240" w:lineRule="auto"/>
    </w:pPr>
    <w:tblPr>
      <w:tblStyleRowBandSize w:val="1"/>
      <w:tblStyleColBandSize w:val="1"/>
    </w:tblPr>
    <w:tblStylePr w:type="firstRow">
      <w:rPr>
        <w:rFonts w:asciiTheme="majorHAnsi" w:cstheme="majorBidi" w:eastAsiaTheme="majorEastAsia" w:hAnsiTheme="majorHAnsi"/>
        <w:b/>
        <w:i w:val="0"/>
        <w:iCs/>
        <w:sz w:val="26"/>
      </w:rPr>
      <w:tblPr/>
      <w:tcPr>
        <w:tcBorders>
          <w:bottom w:color="7F7F7F" w:space="0" w:sz="4" w:themeColor="text1" w:themeTint="80"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7F7F7F" w:space="0" w:sz="4" w:themeColor="text1" w:themeTint="80" w:val="single"/>
        </w:tcBorders>
        <w:shd w:color="auto" w:fill="FFFFFF" w:themeFill="background1" w:val="clear"/>
      </w:tcPr>
    </w:tblStylePr>
    <w:tblStylePr w:type="firstCol">
      <w:pPr>
        <w:jc w:val="right"/>
      </w:pPr>
      <w:rPr>
        <w:rFonts w:asciiTheme="majorHAnsi" w:cstheme="majorBidi" w:eastAsiaTheme="majorEastAsia" w:hAnsiTheme="majorHAnsi"/>
        <w:b/>
        <w:i w:val="0"/>
        <w:iCs/>
        <w:sz w:val="26"/>
      </w:rPr>
      <w:tblPr/>
      <w:tcPr>
        <w:tcBorders>
          <w:right w:color="7F7F7F" w:space="0" w:sz="4" w:themeColor="text1" w:themeTint="80"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7F7F7F" w:space="0" w:sz="4" w:themeColor="text1" w:themeTint="80" w:val="single"/>
        </w:tcBorders>
        <w:shd w:color="auto" w:fill="FFFFFF" w:themeFill="background1" w:val="clear"/>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GridTable1Light-Accent5" w:type="table">
    <w:name w:val="Grid Table 1 Light Accent 5"/>
    <w:basedOn w:val="TableNormal"/>
    <w:uiPriority w:val="46"/>
    <w:rsid w:val="004B5C8E"/>
    <w:pPr>
      <w:spacing w:after="0" w:line="240" w:lineRule="auto"/>
    </w:pPr>
    <w:rPr>
      <w:sz w:val="22"/>
    </w:rPr>
    <w:tblPr>
      <w:tblStyleRowBandSize w:val="1"/>
      <w:tblStyleColBandSize w:val="1"/>
    </w:tblPr>
    <w:tblStylePr w:type="firstRow">
      <w:rPr>
        <w:rFonts w:ascii="Glory" w:hAnsi="Glory"/>
        <w:b/>
        <w:bCs/>
        <w:color w:themeColor="accent1" w:val="0A105D"/>
        <w:sz w:val="28"/>
      </w:rPr>
      <w:tblPr/>
      <w:tcPr>
        <w:tcBorders>
          <w:bottom w:color="666666" w:space="0" w:sz="12" w:themeColor="accent5" w:themeTint="99" w:val="single"/>
        </w:tcBorders>
      </w:tcPr>
    </w:tblStylePr>
    <w:tblStylePr w:type="lastRow">
      <w:rPr>
        <w:b/>
        <w:bCs/>
      </w:rPr>
      <w:tblPr/>
      <w:tcPr>
        <w:tcBorders>
          <w:top w:color="666666" w:space="0" w:sz="2" w:themeColor="accent5" w:themeTint="99" w:val="double"/>
        </w:tcBorders>
      </w:tcPr>
    </w:tblStylePr>
    <w:tblStylePr w:type="firstCol">
      <w:rPr>
        <w:b/>
        <w:bCs/>
      </w:rPr>
    </w:tblStylePr>
    <w:tblStylePr w:type="lastCol">
      <w:rPr>
        <w:b/>
        <w:bCs/>
      </w:rPr>
    </w:tblStylePr>
  </w:style>
  <w:style w:customStyle="1" w:styleId="Table5-EDPB" w:type="table">
    <w:name w:val="Table 5 - EDPB"/>
    <w:basedOn w:val="TableNormal"/>
    <w:uiPriority w:val="99"/>
    <w:rsid w:val="004B5C8E"/>
    <w:pPr>
      <w:spacing w:after="0" w:line="240" w:lineRule="auto"/>
    </w:pPr>
    <w:rPr>
      <w:sz w:val="22"/>
    </w:rPr>
    <w:tblPr/>
    <w:tcPr>
      <w:vAlign w:val="center"/>
    </w:tcPr>
    <w:tblStylePr w:type="firstRow">
      <w:pPr>
        <w:jc w:val="left"/>
      </w:pPr>
      <w:rPr>
        <w:rFonts w:ascii="Glory" w:hAnsi="Glory"/>
        <w:b/>
        <w:sz w:val="28"/>
      </w:rPr>
      <w:tblPr/>
      <w:tcPr>
        <w:tcBorders>
          <w:top w:val="nil"/>
          <w:left w:val="nil"/>
          <w:bottom w:color="08149C" w:space="0" w:sz="12" w:themeColor="accent2" w:val="single"/>
          <w:right w:val="nil"/>
          <w:insideH w:val="nil"/>
          <w:insideV w:val="nil"/>
        </w:tcBorders>
        <w:vAlign w:val="center"/>
      </w:tcPr>
    </w:tblStylePr>
  </w:style>
  <w:style w:styleId="GridTable4-Accent1" w:type="table">
    <w:name w:val="Grid Table 4 Accent 1"/>
    <w:basedOn w:val="TableNormal"/>
    <w:uiPriority w:val="49"/>
    <w:rsid w:val="009A25EE"/>
    <w:pPr>
      <w:spacing w:after="0" w:line="240" w:lineRule="auto"/>
    </w:pPr>
    <w:tblPr>
      <w:tblStyleRowBandSize w:val="1"/>
      <w:tblStyleColBandSize w:val="1"/>
      <w:tblBorders>
        <w:top w:color="2230E7" w:space="0" w:sz="4" w:themeColor="accent1" w:themeTint="99" w:val="single"/>
        <w:left w:color="2230E7" w:space="0" w:sz="4" w:themeColor="accent1" w:themeTint="99" w:val="single"/>
        <w:bottom w:color="2230E7" w:space="0" w:sz="4" w:themeColor="accent1" w:themeTint="99" w:val="single"/>
        <w:right w:color="2230E7" w:space="0" w:sz="4" w:themeColor="accent1" w:themeTint="99" w:val="single"/>
        <w:insideH w:color="2230E7" w:space="0" w:sz="4" w:themeColor="accent1" w:themeTint="99" w:val="single"/>
        <w:insideV w:color="2230E7" w:space="0" w:sz="4" w:themeColor="accent1" w:themeTint="99" w:val="single"/>
      </w:tblBorders>
    </w:tblPr>
    <w:tblStylePr w:type="firstRow">
      <w:rPr>
        <w:b/>
        <w:bCs/>
        <w:color w:val="FFFFFF"/>
      </w:rPr>
      <w:tblPr/>
      <w:tcPr>
        <w:tcBorders>
          <w:top w:color="0A105D" w:space="0" w:sz="4" w:themeColor="accent1" w:val="single"/>
          <w:left w:color="0A105D" w:space="0" w:sz="4" w:themeColor="accent1" w:val="single"/>
          <w:bottom w:color="0A105D" w:space="0" w:sz="4" w:themeColor="accent1" w:val="single"/>
          <w:right w:color="0A105D" w:space="0" w:sz="4" w:themeColor="accent1" w:val="single"/>
          <w:insideH w:val="nil"/>
          <w:insideV w:val="nil"/>
        </w:tcBorders>
        <w:shd w:color="auto" w:fill="0A105D" w:themeFill="accent1" w:val="clear"/>
      </w:tcPr>
    </w:tblStylePr>
    <w:tblStylePr w:type="lastRow">
      <w:rPr>
        <w:b/>
        <w:bCs/>
      </w:rPr>
      <w:tblPr/>
      <w:tcPr>
        <w:tcBorders>
          <w:top w:color="0A105D" w:space="0" w:sz="4" w:themeColor="accent1" w:val="double"/>
        </w:tcBorders>
      </w:tcPr>
    </w:tblStylePr>
    <w:tblStylePr w:type="firstCol">
      <w:rPr>
        <w:b/>
        <w:bCs/>
      </w:rPr>
    </w:tblStylePr>
    <w:tblStylePr w:type="lastCol">
      <w:rPr>
        <w:b/>
        <w:bCs/>
      </w:rPr>
    </w:tblStylePr>
    <w:tblStylePr w:type="band1Vert">
      <w:tblPr/>
      <w:tcPr>
        <w:shd w:color="auto" w:fill="B5B9F7" w:themeFill="accent1" w:themeFillTint="33" w:val="clear"/>
      </w:tcPr>
    </w:tblStylePr>
    <w:tblStylePr w:type="band1Horz">
      <w:tblPr/>
      <w:tcPr>
        <w:shd w:color="auto" w:fill="B5B9F7" w:themeFill="accent1" w:themeFillTint="33" w:val="clear"/>
      </w:tcPr>
    </w:tblStylePr>
  </w:style>
  <w:style w:styleId="GridTable4-Accent3" w:type="table">
    <w:name w:val="Grid Table 4 Accent 3"/>
    <w:basedOn w:val="TableNormal"/>
    <w:uiPriority w:val="49"/>
    <w:rsid w:val="009A25EE"/>
    <w:pPr>
      <w:spacing w:after="0" w:line="240" w:lineRule="auto"/>
    </w:pPr>
    <w:tblPr>
      <w:tblStyleRowBandSize w:val="1"/>
      <w:tblStyleColBandSize w:val="1"/>
      <w:tblBorders>
        <w:top w:color="2230E7" w:space="0" w:sz="4" w:themeColor="accent3" w:themeTint="99" w:val="single"/>
        <w:left w:color="2230E7" w:space="0" w:sz="4" w:themeColor="accent3" w:themeTint="99" w:val="single"/>
        <w:bottom w:color="2230E7" w:space="0" w:sz="4" w:themeColor="accent3" w:themeTint="99" w:val="single"/>
        <w:right w:color="2230E7" w:space="0" w:sz="4" w:themeColor="accent3" w:themeTint="99" w:val="single"/>
        <w:insideH w:color="2230E7" w:space="0" w:sz="4" w:themeColor="accent3" w:themeTint="99" w:val="single"/>
        <w:insideV w:color="2230E7" w:space="0" w:sz="4" w:themeColor="accent3" w:themeTint="99" w:val="single"/>
      </w:tblBorders>
    </w:tblPr>
    <w:tblStylePr w:type="firstRow">
      <w:rPr>
        <w:b/>
        <w:bCs/>
        <w:color w:themeColor="background1" w:val="FFFFFF"/>
      </w:rPr>
      <w:tblPr/>
      <w:tcPr>
        <w:tcBorders>
          <w:top w:color="0A105D" w:space="0" w:sz="4" w:themeColor="accent3" w:val="single"/>
          <w:left w:color="0A105D" w:space="0" w:sz="4" w:themeColor="accent3" w:val="single"/>
          <w:bottom w:color="0A105D" w:space="0" w:sz="4" w:themeColor="accent3" w:val="single"/>
          <w:right w:color="0A105D" w:space="0" w:sz="4" w:themeColor="accent3" w:val="single"/>
          <w:insideH w:val="nil"/>
          <w:insideV w:val="nil"/>
        </w:tcBorders>
        <w:shd w:color="auto" w:fill="0A105D" w:themeFill="accent3" w:val="clear"/>
      </w:tcPr>
    </w:tblStylePr>
    <w:tblStylePr w:type="lastRow">
      <w:rPr>
        <w:b/>
        <w:bCs/>
      </w:rPr>
      <w:tblPr/>
      <w:tcPr>
        <w:tcBorders>
          <w:top w:color="0A105D" w:space="0" w:sz="4" w:themeColor="accent3" w:val="double"/>
        </w:tcBorders>
      </w:tcPr>
    </w:tblStylePr>
    <w:tblStylePr w:type="firstCol">
      <w:rPr>
        <w:b/>
        <w:bCs/>
      </w:rPr>
    </w:tblStylePr>
    <w:tblStylePr w:type="lastCol">
      <w:rPr>
        <w:b/>
        <w:bCs/>
      </w:rPr>
    </w:tblStylePr>
    <w:tblStylePr w:type="band1Vert">
      <w:tblPr/>
      <w:tcPr>
        <w:shd w:color="auto" w:fill="B5B9F7" w:themeFill="accent3" w:themeFillTint="33" w:val="clear"/>
      </w:tcPr>
    </w:tblStylePr>
    <w:tblStylePr w:type="band1Horz">
      <w:tblPr/>
      <w:tcPr>
        <w:shd w:color="auto" w:fill="B5B9F7" w:themeFill="accent3" w:themeFillTint="33" w:val="clear"/>
      </w:tcPr>
    </w:tblStylePr>
  </w:style>
  <w:style w:styleId="GridTable4-Accent4" w:type="table">
    <w:name w:val="Grid Table 4 Accent 4"/>
    <w:basedOn w:val="TableNormal"/>
    <w:uiPriority w:val="49"/>
    <w:rsid w:val="009A25EE"/>
    <w:pPr>
      <w:spacing w:after="0" w:line="240" w:lineRule="auto"/>
    </w:pPr>
    <w:tblPr>
      <w:tblStyleRowBandSize w:val="1"/>
      <w:tblStyleColBandSize w:val="1"/>
      <w:tblBorders>
        <w:top w:color="9EDAFA" w:space="0" w:sz="4" w:themeColor="accent4" w:themeTint="99" w:val="single"/>
        <w:left w:color="9EDAFA" w:space="0" w:sz="4" w:themeColor="accent4" w:themeTint="99" w:val="single"/>
        <w:bottom w:color="9EDAFA" w:space="0" w:sz="4" w:themeColor="accent4" w:themeTint="99" w:val="single"/>
        <w:right w:color="9EDAFA" w:space="0" w:sz="4" w:themeColor="accent4" w:themeTint="99" w:val="single"/>
        <w:insideH w:color="9EDAFA" w:space="0" w:sz="4" w:themeColor="accent4" w:themeTint="99" w:val="single"/>
        <w:insideV w:color="9EDAFA" w:space="0" w:sz="4" w:themeColor="accent4" w:themeTint="99" w:val="single"/>
      </w:tblBorders>
    </w:tblPr>
    <w:tblStylePr w:type="firstRow">
      <w:rPr>
        <w:b/>
        <w:bCs/>
        <w:color w:themeColor="background1" w:val="FFFFFF"/>
      </w:rPr>
      <w:tblPr/>
      <w:tcPr>
        <w:tcBorders>
          <w:top w:color="5EC2F7" w:space="0" w:sz="4" w:themeColor="accent4" w:val="single"/>
          <w:left w:color="5EC2F7" w:space="0" w:sz="4" w:themeColor="accent4" w:val="single"/>
          <w:bottom w:color="5EC2F7" w:space="0" w:sz="4" w:themeColor="accent4" w:val="single"/>
          <w:right w:color="5EC2F7" w:space="0" w:sz="4" w:themeColor="accent4" w:val="single"/>
          <w:insideH w:val="nil"/>
          <w:insideV w:val="nil"/>
        </w:tcBorders>
        <w:shd w:color="auto" w:fill="5EC2F7" w:themeFill="accent4" w:val="clear"/>
      </w:tcPr>
    </w:tblStylePr>
    <w:tblStylePr w:type="lastRow">
      <w:rPr>
        <w:b/>
        <w:bCs/>
      </w:rPr>
      <w:tblPr/>
      <w:tcPr>
        <w:tcBorders>
          <w:top w:color="5EC2F7" w:space="0" w:sz="4" w:themeColor="accent4" w:val="double"/>
        </w:tcBorders>
      </w:tcPr>
    </w:tblStylePr>
    <w:tblStylePr w:type="firstCol">
      <w:rPr>
        <w:b/>
        <w:bCs/>
      </w:rPr>
    </w:tblStylePr>
    <w:tblStylePr w:type="lastCol">
      <w:rPr>
        <w:b/>
        <w:bCs/>
      </w:rPr>
    </w:tblStylePr>
    <w:tblStylePr w:type="band1Vert">
      <w:tblPr/>
      <w:tcPr>
        <w:shd w:color="auto" w:fill="DEF2FD" w:themeFill="accent4" w:themeFillTint="33" w:val="clear"/>
      </w:tcPr>
    </w:tblStylePr>
    <w:tblStylePr w:type="band1Horz">
      <w:tblPr/>
      <w:tcPr>
        <w:shd w:color="auto" w:fill="DEF2FD" w:themeFill="accent4" w:themeFillTint="33" w:val="clear"/>
      </w:tcPr>
    </w:tblStylePr>
  </w:style>
  <w:style w:styleId="GridTable4-Accent2" w:type="table">
    <w:name w:val="Grid Table 4 Accent 2"/>
    <w:basedOn w:val="TableNormal"/>
    <w:uiPriority w:val="49"/>
    <w:rsid w:val="009A25EE"/>
    <w:pPr>
      <w:spacing w:after="0" w:line="240" w:lineRule="auto"/>
    </w:pPr>
    <w:tblPr>
      <w:tblStyleRowBandSize w:val="1"/>
      <w:tblStyleColBandSize w:val="1"/>
      <w:tblBorders>
        <w:top w:color="3948F4" w:space="0" w:sz="4" w:themeColor="accent2" w:themeTint="99" w:val="single"/>
        <w:left w:color="3948F4" w:space="0" w:sz="4" w:themeColor="accent2" w:themeTint="99" w:val="single"/>
        <w:bottom w:color="3948F4" w:space="0" w:sz="4" w:themeColor="accent2" w:themeTint="99" w:val="single"/>
        <w:right w:color="3948F4" w:space="0" w:sz="4" w:themeColor="accent2" w:themeTint="99" w:val="single"/>
        <w:insideH w:color="3948F4" w:space="0" w:sz="4" w:themeColor="accent2" w:themeTint="99" w:val="single"/>
        <w:insideV w:color="3948F4" w:space="0" w:sz="4" w:themeColor="accent2" w:themeTint="99" w:val="single"/>
      </w:tblBorders>
    </w:tblPr>
    <w:tblStylePr w:type="firstRow">
      <w:rPr>
        <w:b/>
        <w:bCs/>
        <w:color w:themeColor="background1" w:val="FFFFFF"/>
      </w:rPr>
      <w:tblPr/>
      <w:tcPr>
        <w:tcBorders>
          <w:top w:color="08149C" w:space="0" w:sz="4" w:themeColor="accent2" w:val="single"/>
          <w:left w:color="08149C" w:space="0" w:sz="4" w:themeColor="accent2" w:val="single"/>
          <w:bottom w:color="08149C" w:space="0" w:sz="4" w:themeColor="accent2" w:val="single"/>
          <w:right w:color="08149C" w:space="0" w:sz="4" w:themeColor="accent2" w:val="single"/>
          <w:insideH w:val="nil"/>
          <w:insideV w:val="nil"/>
        </w:tcBorders>
        <w:shd w:color="auto" w:fill="08149C" w:themeFill="accent2" w:val="clear"/>
      </w:tcPr>
    </w:tblStylePr>
    <w:tblStylePr w:type="lastRow">
      <w:rPr>
        <w:b/>
        <w:bCs/>
      </w:rPr>
      <w:tblPr/>
      <w:tcPr>
        <w:tcBorders>
          <w:top w:color="08149C" w:space="0" w:sz="4" w:themeColor="accent2" w:val="double"/>
        </w:tcBorders>
      </w:tcPr>
    </w:tblStylePr>
    <w:tblStylePr w:type="firstCol">
      <w:rPr>
        <w:b/>
        <w:bCs/>
      </w:rPr>
    </w:tblStylePr>
    <w:tblStylePr w:type="lastCol">
      <w:rPr>
        <w:b/>
        <w:bCs/>
      </w:rPr>
    </w:tblStylePr>
    <w:tblStylePr w:type="band1Vert">
      <w:tblPr/>
      <w:tcPr>
        <w:shd w:color="auto" w:fill="BDC1FB" w:themeFill="accent2" w:themeFillTint="33" w:val="clear"/>
      </w:tcPr>
    </w:tblStylePr>
    <w:tblStylePr w:type="band1Horz">
      <w:tblPr/>
      <w:tcPr>
        <w:shd w:color="auto" w:fill="BDC1FB" w:themeFill="accent2" w:themeFillTint="33" w:val="clear"/>
      </w:tcPr>
    </w:tblStylePr>
  </w:style>
  <w:style w:styleId="GridTable5Dark" w:type="table">
    <w:name w:val="Grid Table 5 Dark"/>
    <w:basedOn w:val="TableNormal"/>
    <w:uiPriority w:val="50"/>
    <w:rsid w:val="009A25EE"/>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CCCCCC" w:themeFill="text1"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00000" w:themeFill="text1"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00000" w:themeFill="text1"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00000" w:themeFill="text1"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00000" w:themeFill="text1" w:val="clear"/>
      </w:tcPr>
    </w:tblStylePr>
    <w:tblStylePr w:type="band1Vert">
      <w:tblPr/>
      <w:tcPr>
        <w:shd w:color="auto" w:fill="999999" w:themeFill="text1" w:themeFillTint="66" w:val="clear"/>
      </w:tcPr>
    </w:tblStylePr>
    <w:tblStylePr w:type="band1Horz">
      <w:tblPr/>
      <w:tcPr>
        <w:shd w:color="auto" w:fill="999999" w:themeFill="text1" w:themeFillTint="66" w:val="clear"/>
      </w:tcPr>
    </w:tblStylePr>
  </w:style>
  <w:style w:styleId="GridTable5Dark-Accent2" w:type="table">
    <w:name w:val="Grid Table 5 Dark Accent 2"/>
    <w:basedOn w:val="TableNormal"/>
    <w:uiPriority w:val="50"/>
    <w:rsid w:val="009A25EE"/>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BDC1FB" w:themeFill="accent2"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8149C" w:themeFill="accent2"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8149C" w:themeFill="accent2"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8149C" w:themeFill="accent2"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8149C" w:themeFill="accent2" w:val="clear"/>
      </w:tcPr>
    </w:tblStylePr>
    <w:tblStylePr w:type="band1Vert">
      <w:tblPr/>
      <w:tcPr>
        <w:shd w:color="auto" w:fill="7B84F8" w:themeFill="accent2" w:themeFillTint="66" w:val="clear"/>
      </w:tcPr>
    </w:tblStylePr>
    <w:tblStylePr w:type="band1Horz">
      <w:tblPr/>
      <w:tcPr>
        <w:shd w:color="auto" w:fill="7B84F8" w:themeFill="accent2" w:themeFillTint="66" w:val="clear"/>
      </w:tcPr>
    </w:tblStylePr>
  </w:style>
  <w:style w:styleId="GridTable5Dark-Accent3" w:type="table">
    <w:name w:val="Grid Table 5 Dark Accent 3"/>
    <w:basedOn w:val="TableNormal"/>
    <w:uiPriority w:val="50"/>
    <w:rsid w:val="009A25EE"/>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B5B9F7" w:themeFill="accent3"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A105D" w:themeFill="accent3"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A105D" w:themeFill="accent3"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A105D" w:themeFill="accent3"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A105D" w:themeFill="accent3" w:val="clear"/>
      </w:tcPr>
    </w:tblStylePr>
    <w:tblStylePr w:type="band1Vert">
      <w:tblPr/>
      <w:tcPr>
        <w:shd w:color="auto" w:fill="6B75EF" w:themeFill="accent3" w:themeFillTint="66" w:val="clear"/>
      </w:tcPr>
    </w:tblStylePr>
    <w:tblStylePr w:type="band1Horz">
      <w:tblPr/>
      <w:tcPr>
        <w:shd w:color="auto" w:fill="6B75EF" w:themeFill="accent3" w:themeFillTint="66" w:val="clear"/>
      </w:tcPr>
    </w:tblStylePr>
  </w:style>
  <w:style w:styleId="GridTable5Dark-Accent6" w:type="table">
    <w:name w:val="Grid Table 5 Dark Accent 6"/>
    <w:basedOn w:val="TableNormal"/>
    <w:uiPriority w:val="50"/>
    <w:rsid w:val="009A25EE"/>
    <w:pPr>
      <w:spacing w:after="0" w:line="240" w:lineRule="auto"/>
    </w:pPr>
    <w:rPr>
      <w:color w:themeColor="background1" w:themeShade="D9" w:val="D9D9D9"/>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B5B9F7" w:themeFill="accent6"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A105D" w:themeFill="accent6"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A105D" w:themeFill="accent6"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A105D" w:themeFill="accent6"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A105D" w:themeFill="accent6" w:val="clear"/>
      </w:tcPr>
    </w:tblStylePr>
    <w:tblStylePr w:type="band1Vert">
      <w:tblPr/>
      <w:tcPr>
        <w:shd w:color="auto" w:fill="6B75EF" w:themeFill="accent6" w:themeFillTint="66" w:val="clear"/>
      </w:tcPr>
    </w:tblStylePr>
    <w:tblStylePr w:type="band1Horz">
      <w:tblPr/>
      <w:tcPr>
        <w:shd w:color="auto" w:fill="6B75EF" w:themeFill="accent6" w:themeFillTint="66" w:val="clear"/>
      </w:tcPr>
    </w:tblStylePr>
  </w:style>
  <w:style w:styleId="GridTable1Light-Accent1" w:type="table">
    <w:name w:val="Grid Table 1 Light Accent 1"/>
    <w:aliases w:val="Table 4 - EDPB"/>
    <w:basedOn w:val="TableNormal"/>
    <w:uiPriority w:val="46"/>
    <w:rsid w:val="009A25EE"/>
    <w:pPr>
      <w:spacing w:after="0" w:line="240" w:lineRule="auto"/>
    </w:pPr>
    <w:tblPr>
      <w:tblStyleRowBandSize w:val="1"/>
      <w:tblStyleColBandSize w:val="1"/>
      <w:tblBorders>
        <w:top w:color="6B75EF" w:space="0" w:sz="4" w:themeColor="accent1" w:themeTint="66" w:val="single"/>
        <w:left w:color="6B75EF" w:space="0" w:sz="4" w:themeColor="accent1" w:themeTint="66" w:val="single"/>
        <w:bottom w:color="6B75EF" w:space="0" w:sz="4" w:themeColor="accent1" w:themeTint="66" w:val="single"/>
        <w:right w:color="6B75EF" w:space="0" w:sz="4" w:themeColor="accent1" w:themeTint="66" w:val="single"/>
        <w:insideH w:color="6B75EF" w:space="0" w:sz="4" w:themeColor="accent1" w:themeTint="66" w:val="single"/>
        <w:insideV w:color="6B75EF" w:space="0" w:sz="4" w:themeColor="accent1" w:themeTint="66" w:val="single"/>
      </w:tblBorders>
    </w:tblPr>
    <w:tblStylePr w:type="firstRow">
      <w:rPr>
        <w:b/>
        <w:bCs/>
      </w:rPr>
      <w:tblPr/>
      <w:tcPr>
        <w:tcBorders>
          <w:bottom w:color="2230E7" w:space="0" w:sz="12" w:themeColor="accent1" w:themeTint="99" w:val="single"/>
        </w:tcBorders>
      </w:tcPr>
    </w:tblStylePr>
    <w:tblStylePr w:type="lastRow">
      <w:rPr>
        <w:b/>
        <w:bCs/>
      </w:rPr>
      <w:tblPr/>
      <w:tcPr>
        <w:tcBorders>
          <w:top w:color="2230E7" w:space="0" w:sz="2" w:themeColor="accent1" w:themeTint="99" w:val="double"/>
        </w:tcBorders>
      </w:tcPr>
    </w:tblStylePr>
    <w:tblStylePr w:type="firstCol">
      <w:rPr>
        <w:b/>
        <w:bCs/>
      </w:rPr>
    </w:tblStylePr>
    <w:tblStylePr w:type="lastCol">
      <w:rPr>
        <w:b/>
        <w:bCs/>
      </w:rPr>
    </w:tblStylePr>
  </w:style>
  <w:style w:styleId="GridTable1Light-Accent3" w:type="table">
    <w:name w:val="Grid Table 1 Light Accent 3"/>
    <w:basedOn w:val="TableNormal"/>
    <w:uiPriority w:val="46"/>
    <w:rsid w:val="009A25EE"/>
    <w:pPr>
      <w:spacing w:after="0" w:line="240" w:lineRule="auto"/>
    </w:pPr>
    <w:tblPr>
      <w:tblStyleRowBandSize w:val="1"/>
      <w:tblStyleColBandSize w:val="1"/>
      <w:tblBorders>
        <w:top w:color="6B75EF" w:space="0" w:sz="4" w:themeColor="accent3" w:themeTint="66" w:val="single"/>
        <w:left w:color="6B75EF" w:space="0" w:sz="4" w:themeColor="accent3" w:themeTint="66" w:val="single"/>
        <w:bottom w:color="6B75EF" w:space="0" w:sz="4" w:themeColor="accent3" w:themeTint="66" w:val="single"/>
        <w:right w:color="6B75EF" w:space="0" w:sz="4" w:themeColor="accent3" w:themeTint="66" w:val="single"/>
        <w:insideH w:color="6B75EF" w:space="0" w:sz="4" w:themeColor="accent3" w:themeTint="66" w:val="single"/>
        <w:insideV w:color="6B75EF" w:space="0" w:sz="4" w:themeColor="accent3" w:themeTint="66" w:val="single"/>
      </w:tblBorders>
    </w:tblPr>
    <w:tblStylePr w:type="firstRow">
      <w:rPr>
        <w:b/>
        <w:bCs/>
      </w:rPr>
      <w:tblPr/>
      <w:tcPr>
        <w:tcBorders>
          <w:bottom w:color="2230E7" w:space="0" w:sz="12" w:themeColor="accent3" w:themeTint="99" w:val="single"/>
        </w:tcBorders>
      </w:tcPr>
    </w:tblStylePr>
    <w:tblStylePr w:type="lastRow">
      <w:rPr>
        <w:b/>
        <w:bCs/>
      </w:rPr>
      <w:tblPr/>
      <w:tcPr>
        <w:tcBorders>
          <w:top w:color="2230E7" w:space="0" w:sz="2" w:themeColor="accent3" w:themeTint="99" w:val="double"/>
        </w:tcBorders>
      </w:tcPr>
    </w:tblStylePr>
    <w:tblStylePr w:type="firstCol">
      <w:rPr>
        <w:b/>
        <w:bCs/>
      </w:rPr>
    </w:tblStylePr>
    <w:tblStylePr w:type="lastCol">
      <w:rPr>
        <w:b/>
        <w:bCs/>
      </w:rPr>
    </w:tblStylePr>
  </w:style>
  <w:style w:styleId="GridTable3-Accent5" w:type="table">
    <w:name w:val="Grid Table 3 Accent 5"/>
    <w:basedOn w:val="TableNormal"/>
    <w:uiPriority w:val="48"/>
    <w:rsid w:val="009A25EE"/>
    <w:pPr>
      <w:spacing w:after="0" w:line="240" w:lineRule="auto"/>
    </w:pPr>
    <w:tblPr>
      <w:tblStyleRowBandSize w:val="1"/>
      <w:tblStyleColBandSize w:val="1"/>
      <w:tblBorders>
        <w:top w:color="666666" w:space="0" w:sz="4" w:themeColor="accent5" w:themeTint="99" w:val="single"/>
        <w:left w:color="666666" w:space="0" w:sz="4" w:themeColor="accent5" w:themeTint="99" w:val="single"/>
        <w:bottom w:color="666666" w:space="0" w:sz="4" w:themeColor="accent5" w:themeTint="99" w:val="single"/>
        <w:right w:color="666666" w:space="0" w:sz="4" w:themeColor="accent5" w:themeTint="99" w:val="single"/>
        <w:insideH w:color="666666" w:space="0" w:sz="4" w:themeColor="accent5" w:themeTint="99" w:val="single"/>
        <w:insideV w:color="666666" w:space="0" w:sz="4" w:themeColor="accent5" w:themeTint="99" w:val="single"/>
      </w:tblBorders>
    </w:tblPr>
    <w:tblStylePr w:type="firstRow">
      <w:rPr>
        <w:b/>
        <w:bCs/>
        <w:i w:val="0"/>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val="0"/>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accent5" w:themeFillTint="33" w:val="clear"/>
      </w:tcPr>
    </w:tblStylePr>
    <w:tblStylePr w:type="band1Horz">
      <w:tblPr/>
      <w:tcPr>
        <w:shd w:color="auto" w:fill="CCCCCC" w:themeFill="accent5" w:themeFillTint="33" w:val="clear"/>
      </w:tcPr>
    </w:tblStylePr>
    <w:tblStylePr w:type="neCell">
      <w:tblPr/>
      <w:tcPr>
        <w:tcBorders>
          <w:bottom w:color="666666" w:space="0" w:sz="4" w:themeColor="accent5" w:themeTint="99" w:val="single"/>
        </w:tcBorders>
      </w:tcPr>
    </w:tblStylePr>
    <w:tblStylePr w:type="nwCell">
      <w:tblPr/>
      <w:tcPr>
        <w:tcBorders>
          <w:bottom w:color="666666" w:space="0" w:sz="4" w:themeColor="accent5" w:themeTint="99" w:val="single"/>
        </w:tcBorders>
      </w:tcPr>
    </w:tblStylePr>
    <w:tblStylePr w:type="seCell">
      <w:tblPr/>
      <w:tcPr>
        <w:tcBorders>
          <w:top w:color="666666" w:space="0" w:sz="4" w:themeColor="accent5" w:themeTint="99" w:val="single"/>
        </w:tcBorders>
      </w:tcPr>
    </w:tblStylePr>
    <w:tblStylePr w:type="swCell">
      <w:tblPr/>
      <w:tcPr>
        <w:tcBorders>
          <w:top w:color="666666" w:space="0" w:sz="4" w:themeColor="accent5" w:themeTint="99" w:val="single"/>
        </w:tcBorders>
      </w:tcPr>
    </w:tblStylePr>
  </w:style>
  <w:style w:styleId="GridTable7Colorful-Accent3" w:type="table">
    <w:name w:val="Grid Table 7 Colorful Accent 3"/>
    <w:basedOn w:val="TableNormal"/>
    <w:uiPriority w:val="52"/>
    <w:rsid w:val="009A25EE"/>
    <w:pPr>
      <w:spacing w:after="0" w:line="240" w:lineRule="auto"/>
    </w:pPr>
    <w:rPr>
      <w:color w:themeColor="accent3" w:themeShade="BF" w:val="070B45"/>
    </w:rPr>
    <w:tblPr>
      <w:tblStyleRowBandSize w:val="1"/>
      <w:tblStyleColBandSize w:val="1"/>
      <w:tblBorders>
        <w:top w:color="2230E7" w:space="0" w:sz="4" w:themeColor="accent3" w:themeTint="99" w:val="single"/>
        <w:left w:color="2230E7" w:space="0" w:sz="4" w:themeColor="accent3" w:themeTint="99" w:val="single"/>
        <w:bottom w:color="2230E7" w:space="0" w:sz="4" w:themeColor="accent3" w:themeTint="99" w:val="single"/>
        <w:right w:color="2230E7" w:space="0" w:sz="4" w:themeColor="accent3" w:themeTint="99" w:val="single"/>
        <w:insideH w:color="2230E7" w:space="0" w:sz="4" w:themeColor="accent3" w:themeTint="99" w:val="single"/>
        <w:insideV w:color="2230E7" w:space="0" w:sz="4" w:themeColor="accent3"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B5B9F7" w:themeFill="accent3" w:themeFillTint="33" w:val="clear"/>
      </w:tcPr>
    </w:tblStylePr>
    <w:tblStylePr w:type="band1Horz">
      <w:tblPr/>
      <w:tcPr>
        <w:shd w:color="auto" w:fill="B5B9F7" w:themeFill="accent3" w:themeFillTint="33" w:val="clear"/>
      </w:tcPr>
    </w:tblStylePr>
    <w:tblStylePr w:type="neCell">
      <w:tblPr/>
      <w:tcPr>
        <w:tcBorders>
          <w:bottom w:color="2230E7" w:space="0" w:sz="4" w:themeColor="accent3" w:themeTint="99" w:val="single"/>
        </w:tcBorders>
      </w:tcPr>
    </w:tblStylePr>
    <w:tblStylePr w:type="nwCell">
      <w:tblPr/>
      <w:tcPr>
        <w:tcBorders>
          <w:bottom w:color="2230E7" w:space="0" w:sz="4" w:themeColor="accent3" w:themeTint="99" w:val="single"/>
        </w:tcBorders>
      </w:tcPr>
    </w:tblStylePr>
    <w:tblStylePr w:type="seCell">
      <w:tblPr/>
      <w:tcPr>
        <w:tcBorders>
          <w:top w:color="2230E7" w:space="0" w:sz="4" w:themeColor="accent3" w:themeTint="99" w:val="single"/>
        </w:tcBorders>
      </w:tcPr>
    </w:tblStylePr>
    <w:tblStylePr w:type="swCell">
      <w:tblPr/>
      <w:tcPr>
        <w:tcBorders>
          <w:top w:color="2230E7" w:space="0" w:sz="4" w:themeColor="accent3" w:themeTint="99" w:val="single"/>
        </w:tcBorders>
      </w:tcPr>
    </w:tblStylePr>
  </w:style>
  <w:style w:styleId="GridTable5Dark-Accent5" w:type="table">
    <w:name w:val="Grid Table 5 Dark Accent 5"/>
    <w:basedOn w:val="TableNormal"/>
    <w:uiPriority w:val="50"/>
    <w:rsid w:val="009A25EE"/>
    <w:pPr>
      <w:spacing w:after="0" w:line="240" w:lineRule="auto"/>
    </w:pPr>
    <w:rPr>
      <w:color w:themeColor="background1" w:val="FFFFFF"/>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CCCCCC" w:themeFill="accent5"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00000" w:themeFill="accent5"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00000" w:themeFill="accent5"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00000" w:themeFill="accent5"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00000" w:themeFill="accent5" w:val="clear"/>
      </w:tcPr>
    </w:tblStylePr>
    <w:tblStylePr w:type="band1Vert">
      <w:tblPr/>
      <w:tcPr>
        <w:shd w:color="auto" w:fill="999999" w:themeFill="accent5" w:themeFillTint="66" w:val="clear"/>
      </w:tcPr>
    </w:tblStylePr>
    <w:tblStylePr w:type="band1Horz">
      <w:tblPr/>
      <w:tcPr>
        <w:shd w:color="auto" w:fill="999999" w:themeFill="accent5" w:themeFillTint="66" w:val="clear"/>
      </w:tcPr>
    </w:tblStylePr>
  </w:style>
  <w:style w:customStyle="1" w:styleId="AnnexH1EDPB" w:type="paragraph">
    <w:name w:val="Annex H1 EDPB"/>
    <w:basedOn w:val="Heading1"/>
    <w:link w:val="AnnexH1EDPBChar"/>
    <w:uiPriority w:val="2"/>
    <w:qFormat/>
    <w:rsid w:val="00002024"/>
    <w:pPr>
      <w:numPr>
        <w:numId w:val="6"/>
      </w:numPr>
    </w:pPr>
  </w:style>
  <w:style w:styleId="GridTable1Light-Accent4" w:type="table">
    <w:name w:val="Grid Table 1 Light Accent 4"/>
    <w:basedOn w:val="TableNormal"/>
    <w:uiPriority w:val="46"/>
    <w:rsid w:val="00E80001"/>
    <w:pPr>
      <w:spacing w:after="0" w:line="240" w:lineRule="auto"/>
    </w:pPr>
    <w:tblPr>
      <w:tblStyleRowBandSize w:val="1"/>
      <w:tblStyleColBandSize w:val="1"/>
      <w:tblBorders>
        <w:top w:color="BEE6FB" w:space="0" w:sz="4" w:themeColor="accent4" w:themeTint="66" w:val="single"/>
        <w:left w:color="BEE6FB" w:space="0" w:sz="4" w:themeColor="accent4" w:themeTint="66" w:val="single"/>
        <w:bottom w:color="BEE6FB" w:space="0" w:sz="4" w:themeColor="accent4" w:themeTint="66" w:val="single"/>
        <w:right w:color="BEE6FB" w:space="0" w:sz="4" w:themeColor="accent4" w:themeTint="66" w:val="single"/>
        <w:insideH w:color="BEE6FB" w:space="0" w:sz="4" w:themeColor="accent4" w:themeTint="66" w:val="single"/>
        <w:insideV w:color="BEE6FB" w:space="0" w:sz="4" w:themeColor="accent4" w:themeTint="66" w:val="single"/>
      </w:tblBorders>
    </w:tblPr>
    <w:tblStylePr w:type="firstRow">
      <w:rPr>
        <w:b/>
        <w:bCs/>
      </w:rPr>
      <w:tblPr/>
      <w:tcPr>
        <w:tcBorders>
          <w:bottom w:color="9EDAFA" w:space="0" w:sz="12" w:themeColor="accent4" w:themeTint="99" w:val="single"/>
        </w:tcBorders>
      </w:tcPr>
    </w:tblStylePr>
    <w:tblStylePr w:type="lastRow">
      <w:rPr>
        <w:b/>
        <w:bCs/>
      </w:rPr>
      <w:tblPr/>
      <w:tcPr>
        <w:tcBorders>
          <w:top w:color="9EDAFA" w:space="0" w:sz="2" w:themeColor="accent4" w:themeTint="99" w:val="double"/>
        </w:tcBorders>
      </w:tcPr>
    </w:tblStylePr>
    <w:tblStylePr w:type="firstCol">
      <w:rPr>
        <w:b/>
        <w:bCs/>
      </w:rPr>
    </w:tblStylePr>
    <w:tblStylePr w:type="lastCol">
      <w:rPr>
        <w:b/>
        <w:bCs/>
      </w:rPr>
    </w:tblStylePr>
  </w:style>
  <w:style w:customStyle="1" w:styleId="AnnexH1EDPBChar" w:type="character">
    <w:name w:val="Annex H1 EDPB Char"/>
    <w:basedOn w:val="Heading1Char"/>
    <w:link w:val="AnnexH1EDPB"/>
    <w:uiPriority w:val="2"/>
    <w:rsid w:val="00002024"/>
    <w:rPr>
      <w:rFonts w:asciiTheme="majorHAnsi" w:cstheme="majorBidi" w:eastAsiaTheme="majorEastAsia" w:hAnsiTheme="majorHAnsi"/>
      <w:b/>
      <w:color w:themeColor="accent1" w:val="0A105D"/>
      <w:spacing w:val="10"/>
      <w:sz w:val="32"/>
      <w:szCs w:val="64"/>
    </w:rPr>
  </w:style>
  <w:style w:styleId="GridTable1Light" w:type="table">
    <w:name w:val="Grid Table 1 Light"/>
    <w:basedOn w:val="TableNormal"/>
    <w:uiPriority w:val="46"/>
    <w:rsid w:val="00E80001"/>
    <w:pPr>
      <w:spacing w:after="0" w:line="240" w:lineRule="auto"/>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customStyle="1" w:styleId="EDPBtable2" w:type="table">
    <w:name w:val="EDPB table 2"/>
    <w:basedOn w:val="TableNormal"/>
    <w:uiPriority w:val="99"/>
    <w:rsid w:val="00E80001"/>
    <w:pPr>
      <w:spacing w:after="0" w:line="240" w:lineRule="auto"/>
    </w:pPr>
    <w:tblPr/>
  </w:style>
  <w:style w:customStyle="1" w:styleId="EDPBH6tabletitle" w:type="paragraph">
    <w:name w:val="EDPB H6 table title"/>
    <w:basedOn w:val="Heading5"/>
    <w:uiPriority w:val="2"/>
    <w:rsid w:val="008C11D8"/>
  </w:style>
  <w:style w:customStyle="1" w:styleId="EDPBstyle1" w:type="table">
    <w:name w:val="EDPB style 1"/>
    <w:basedOn w:val="TableNormal"/>
    <w:uiPriority w:val="99"/>
    <w:rsid w:val="002E0587"/>
    <w:pPr>
      <w:spacing w:after="0" w:line="240" w:lineRule="auto"/>
    </w:pPr>
    <w:rPr>
      <w:sz w:val="22"/>
    </w:rPr>
    <w:tblPr/>
    <w:tcPr>
      <w:vAlign w:val="center"/>
    </w:tcPr>
    <w:tblStylePr w:type="firstRow">
      <w:pPr>
        <w:jc w:val="left"/>
      </w:pPr>
      <w:rPr>
        <w:rFonts w:ascii="Glory" w:hAnsi="Glory"/>
        <w:b/>
        <w:sz w:val="28"/>
      </w:rPr>
      <w:tblPr/>
      <w:tcPr>
        <w:tcBorders>
          <w:top w:val="nil"/>
          <w:left w:val="nil"/>
          <w:bottom w:color="08149C" w:space="0" w:sz="12" w:themeColor="accent2" w:val="single"/>
          <w:right w:val="nil"/>
          <w:insideH w:val="nil"/>
          <w:insideV w:val="nil"/>
        </w:tcBorders>
        <w:vAlign w:val="center"/>
      </w:tcPr>
    </w:tblStylePr>
  </w:style>
  <w:style w:styleId="CommentSubject" w:type="paragraph">
    <w:name w:val="annotation subject"/>
    <w:basedOn w:val="CommentText"/>
    <w:next w:val="CommentText"/>
    <w:link w:val="CommentSubjectChar"/>
    <w:uiPriority w:val="99"/>
    <w:rsid w:val="00791A24"/>
    <w:pPr>
      <w:spacing w:after="120" w:before="120"/>
      <w:jc w:val="both"/>
    </w:pPr>
    <w:rPr>
      <w:rFonts w:cs="Calibri"/>
      <w:b/>
      <w:bCs/>
      <w:color w:themeColor="text1" w:val="000000"/>
    </w:rPr>
  </w:style>
  <w:style w:customStyle="1" w:styleId="CommentSubjectChar" w:type="character">
    <w:name w:val="Comment Subject Char"/>
    <w:basedOn w:val="CommentTextChar"/>
    <w:link w:val="CommentSubject"/>
    <w:uiPriority w:val="99"/>
    <w:rsid w:val="00791A24"/>
    <w:rPr>
      <w:rFonts w:ascii="Glory" w:cs="Calibri" w:eastAsia="Times New Roman" w:hAnsi="Glory"/>
      <w:b/>
      <w:bCs/>
      <w:color w:themeColor="text1" w:val="000000"/>
      <w:sz w:val="20"/>
      <w:szCs w:val="20"/>
    </w:rPr>
  </w:style>
  <w:style w:customStyle="1" w:styleId="Grilledutableau1" w:type="table">
    <w:name w:val="Grille du tableau1"/>
    <w:basedOn w:val="TableNormal"/>
    <w:next w:val="TableGrid"/>
    <w:uiPriority w:val="59"/>
    <w:rsid w:val="009B0283"/>
    <w:pPr>
      <w:spacing w:after="0" w:line="240" w:lineRule="auto"/>
    </w:pPr>
    <w:rPr>
      <w:rFonts w:ascii="Verdana" w:eastAsiaTheme="minorHAnsi" w:hAnsi="Verdana"/>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fontstyle01" w:type="character">
    <w:name w:val="fontstyle01"/>
    <w:basedOn w:val="DefaultParagraphFont"/>
    <w:rsid w:val="009B0283"/>
    <w:rPr>
      <w:rFonts w:ascii="Times New Roman" w:cs="Times New Roman" w:hAnsi="Times New Roman" w:hint="default"/>
      <w:b w:val="0"/>
      <w:bCs w:val="0"/>
      <w:i w:val="0"/>
      <w:iCs w:val="0"/>
      <w:color w:val="000000"/>
      <w:sz w:val="24"/>
      <w:szCs w:val="24"/>
    </w:rPr>
  </w:style>
  <w:style w:styleId="FollowedHyperlink" w:type="character">
    <w:name w:val="FollowedHyperlink"/>
    <w:basedOn w:val="DefaultParagraphFont"/>
    <w:uiPriority w:val="99"/>
    <w:unhideWhenUsed/>
    <w:rsid w:val="009B0283"/>
    <w:rPr>
      <w:color w:themeColor="followedHyperlink" w:val="5EC2F7"/>
      <w:u w:val="single"/>
    </w:rPr>
  </w:style>
  <w:style w:styleId="Revision" w:type="paragraph">
    <w:name w:val="Revision"/>
    <w:hidden/>
    <w:uiPriority w:val="99"/>
    <w:semiHidden/>
    <w:rsid w:val="009B0283"/>
    <w:pPr>
      <w:spacing w:after="0" w:line="240" w:lineRule="auto"/>
    </w:pPr>
    <w:rPr>
      <w:rFonts w:eastAsiaTheme="minorHAnsi"/>
      <w:sz w:val="22"/>
      <w:szCs w:val="22"/>
      <w:lang w:val="fr-FR"/>
    </w:rPr>
  </w:style>
  <w:style w:styleId="EndnoteText" w:type="paragraph">
    <w:name w:val="endnote text"/>
    <w:basedOn w:val="Normal"/>
    <w:link w:val="EndnoteTextChar"/>
    <w:uiPriority w:val="99"/>
    <w:unhideWhenUsed/>
    <w:rsid w:val="009B0283"/>
    <w:pPr>
      <w:spacing w:after="0" w:before="0" w:line="240" w:lineRule="auto"/>
      <w:jc w:val="left"/>
    </w:pPr>
    <w:rPr>
      <w:rFonts w:asciiTheme="minorHAnsi" w:cstheme="minorBidi" w:eastAsiaTheme="minorHAnsi" w:hAnsiTheme="minorHAnsi"/>
      <w:color w:val="auto"/>
      <w:sz w:val="20"/>
      <w:szCs w:val="20"/>
    </w:rPr>
  </w:style>
  <w:style w:customStyle="1" w:styleId="EndnoteTextChar" w:type="character">
    <w:name w:val="Endnote Text Char"/>
    <w:basedOn w:val="DefaultParagraphFont"/>
    <w:link w:val="EndnoteText"/>
    <w:uiPriority w:val="99"/>
    <w:rsid w:val="009B0283"/>
    <w:rPr>
      <w:rFonts w:eastAsiaTheme="minorHAnsi"/>
      <w:sz w:val="20"/>
      <w:szCs w:val="20"/>
    </w:rPr>
  </w:style>
  <w:style w:styleId="EndnoteReference" w:type="character">
    <w:name w:val="endnote reference"/>
    <w:basedOn w:val="DefaultParagraphFont"/>
    <w:uiPriority w:val="99"/>
    <w:unhideWhenUsed/>
    <w:rsid w:val="009B0283"/>
    <w:rPr>
      <w:vertAlign w:val="superscript"/>
    </w:rPr>
  </w:style>
  <w:style w:customStyle="1" w:styleId="ind" w:type="character">
    <w:name w:val="ind"/>
    <w:basedOn w:val="DefaultParagraphFont"/>
    <w:rsid w:val="009B0283"/>
  </w:style>
  <w:style w:customStyle="1" w:styleId="PreambuleTheEDPB" w:type="paragraph">
    <w:name w:val="Preambule The EDPB ..."/>
    <w:basedOn w:val="Normal"/>
    <w:next w:val="Normal"/>
    <w:qFormat/>
    <w:rsid w:val="009B0283"/>
    <w:pPr>
      <w:spacing w:after="480" w:before="0"/>
    </w:pPr>
    <w:rPr>
      <w:rFonts w:asciiTheme="minorHAnsi" w:cstheme="minorBidi" w:eastAsiaTheme="minorHAnsi" w:hAnsiTheme="minorHAnsi"/>
      <w:b/>
      <w:color w:val="auto"/>
      <w:sz w:val="28"/>
      <w:szCs w:val="28"/>
    </w:rPr>
  </w:style>
  <w:style w:customStyle="1" w:styleId="Preambulehasadopted" w:type="paragraph">
    <w:name w:val="Preambule 'has adopted'"/>
    <w:basedOn w:val="Normal"/>
    <w:next w:val="Normal"/>
    <w:qFormat/>
    <w:rsid w:val="009B0283"/>
    <w:pPr>
      <w:spacing w:after="480" w:before="480"/>
    </w:pPr>
    <w:rPr>
      <w:rFonts w:asciiTheme="minorHAnsi" w:cstheme="minorBidi" w:eastAsiaTheme="minorHAnsi" w:hAnsiTheme="minorHAnsi"/>
      <w:b/>
      <w:caps/>
      <w:color w:val="auto"/>
      <w:sz w:val="24"/>
    </w:rPr>
  </w:style>
  <w:style w:customStyle="1" w:styleId="Annexheading1" w:type="paragraph">
    <w:name w:val="Annex heading 1"/>
    <w:basedOn w:val="Heading1"/>
    <w:link w:val="Annexheading1Char"/>
    <w:qFormat/>
    <w:rsid w:val="009B0283"/>
    <w:pPr>
      <w:keepNext/>
      <w:keepLines/>
      <w:numPr>
        <w:numId w:val="0"/>
      </w:numPr>
      <w:spacing w:after="240" w:line="259" w:lineRule="auto"/>
    </w:pPr>
    <w:rPr>
      <w:b w:val="0"/>
      <w:caps/>
      <w:color w:themeColor="accent1" w:themeShade="BF" w:val="070B45"/>
      <w:szCs w:val="32"/>
    </w:rPr>
  </w:style>
  <w:style w:customStyle="1" w:styleId="Annexheading1Char" w:type="character">
    <w:name w:val="Annex heading 1 Char"/>
    <w:basedOn w:val="Heading1Char"/>
    <w:link w:val="Annexheading1"/>
    <w:rsid w:val="009B0283"/>
    <w:rPr>
      <w:rFonts w:asciiTheme="majorHAnsi" w:cstheme="majorBidi" w:eastAsiaTheme="majorEastAsia" w:hAnsiTheme="majorHAnsi"/>
      <w:b w:val="0"/>
      <w:caps/>
      <w:color w:themeColor="accent1" w:themeShade="BF" w:val="070B45"/>
      <w:spacing w:val="10"/>
      <w:sz w:val="32"/>
      <w:szCs w:val="32"/>
    </w:rPr>
  </w:style>
  <w:style w:customStyle="1" w:styleId="TableGrid1" w:type="table">
    <w:name w:val="Table Grid1"/>
    <w:basedOn w:val="TableNormal"/>
    <w:next w:val="TableGrid"/>
    <w:uiPriority w:val="59"/>
    <w:rsid w:val="009B0283"/>
    <w:pPr>
      <w:spacing w:after="0" w:line="240" w:lineRule="auto"/>
    </w:pPr>
    <w:rPr>
      <w:rFonts w:ascii="Verdana" w:eastAsiaTheme="minorHAnsi" w:hAnsi="Verdana"/>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Annexheading2" w:type="paragraph">
    <w:name w:val="Annex heading 2"/>
    <w:basedOn w:val="Heading2"/>
    <w:next w:val="Normal"/>
    <w:qFormat/>
    <w:rsid w:val="009B0283"/>
    <w:pPr>
      <w:numPr>
        <w:ilvl w:val="0"/>
        <w:numId w:val="0"/>
      </w:numPr>
      <w:spacing w:after="240" w:before="240" w:line="259" w:lineRule="auto"/>
    </w:pPr>
    <w:rPr>
      <w:b w:val="0"/>
      <w:color w:themeColor="accent1" w:themeShade="BF" w:val="070B45"/>
      <w:spacing w:val="0"/>
      <w:sz w:val="26"/>
      <w:szCs w:val="26"/>
    </w:rPr>
  </w:style>
  <w:style w:customStyle="1" w:styleId="UnnumberedEDPBParagraph" w:type="paragraph">
    <w:name w:val="Unnumbered EDPB Paragraph"/>
    <w:basedOn w:val="Normal"/>
    <w:qFormat/>
    <w:rsid w:val="009B0283"/>
    <w:pPr>
      <w:tabs>
        <w:tab w:pos="0" w:val="left"/>
      </w:tabs>
      <w:spacing w:after="160" w:before="0"/>
    </w:pPr>
    <w:rPr>
      <w:rFonts w:asciiTheme="minorHAnsi" w:cstheme="minorBidi" w:eastAsiaTheme="minorHAnsi" w:hAnsiTheme="minorHAnsi"/>
      <w:color w:val="auto"/>
      <w:szCs w:val="22"/>
    </w:rPr>
  </w:style>
  <w:style w:customStyle="1" w:styleId="EditorialNotesEDPB" w:type="paragraph">
    <w:name w:val="EditorialNotesEDPB"/>
    <w:basedOn w:val="Normal"/>
    <w:qFormat/>
    <w:rsid w:val="009B0283"/>
    <w:pPr>
      <w:spacing w:after="160" w:before="0"/>
      <w:jc w:val="left"/>
    </w:pPr>
    <w:rPr>
      <w:rFonts w:asciiTheme="minorHAnsi" w:cstheme="minorBidi" w:eastAsiaTheme="minorEastAsia" w:hAnsiTheme="minorHAnsi"/>
      <w:i/>
      <w:noProof/>
      <w:color w:themeColor="accent2" w:val="08149C"/>
      <w:szCs w:val="22"/>
      <w:lang w:eastAsia="nl-NL"/>
    </w:rPr>
  </w:style>
  <w:style w:customStyle="1" w:styleId="Default" w:type="paragraph">
    <w:name w:val="Default"/>
    <w:rsid w:val="009B0283"/>
    <w:pPr>
      <w:autoSpaceDE w:val="0"/>
      <w:autoSpaceDN w:val="0"/>
      <w:adjustRightInd w:val="0"/>
      <w:spacing w:after="0" w:line="240" w:lineRule="auto"/>
    </w:pPr>
    <w:rPr>
      <w:rFonts w:ascii="Calibri" w:cs="Calibri" w:eastAsiaTheme="minorHAnsi" w:hAnsi="Calibri"/>
      <w:color w:val="000000"/>
      <w:sz w:val="24"/>
      <w:szCs w:val="24"/>
    </w:rPr>
  </w:style>
  <w:style w:customStyle="1" w:styleId="EDBPtextinatable" w:type="paragraph">
    <w:name w:val="EDBP text in a table"/>
    <w:basedOn w:val="Normal"/>
    <w:link w:val="EDBPtextinatableChar"/>
    <w:qFormat/>
    <w:rsid w:val="009B0283"/>
    <w:pPr>
      <w:spacing w:after="0" w:before="0" w:line="276" w:lineRule="auto"/>
    </w:pPr>
    <w:rPr>
      <w:rFonts w:ascii="Calibri" w:cstheme="minorHAnsi" w:eastAsiaTheme="minorHAnsi" w:hAnsi="Calibri"/>
      <w:color w:val="auto"/>
      <w:szCs w:val="22"/>
    </w:rPr>
  </w:style>
  <w:style w:customStyle="1" w:styleId="EDBPtextinatableChar" w:type="character">
    <w:name w:val="EDBP text in a table Char"/>
    <w:basedOn w:val="DefaultParagraphFont"/>
    <w:link w:val="EDBPtextinatable"/>
    <w:rsid w:val="009B0283"/>
    <w:rPr>
      <w:rFonts w:ascii="Calibri" w:cstheme="minorHAnsi" w:eastAsiaTheme="minorHAnsi" w:hAnsi="Calibri"/>
      <w:sz w:val="22"/>
      <w:szCs w:val="22"/>
    </w:rPr>
  </w:style>
  <w:style w:customStyle="1" w:styleId="EditorialHeadingsEDPB" w:type="paragraph">
    <w:name w:val="Editorial Headings EDPB"/>
    <w:basedOn w:val="Normal"/>
    <w:next w:val="Normal"/>
    <w:qFormat/>
    <w:rsid w:val="009B0283"/>
    <w:pPr>
      <w:spacing w:after="160" w:before="0"/>
      <w:jc w:val="left"/>
    </w:pPr>
    <w:rPr>
      <w:rFonts w:asciiTheme="majorHAnsi" w:cstheme="majorHAnsi" w:eastAsiaTheme="minorHAnsi" w:hAnsiTheme="majorHAnsi"/>
      <w:b/>
      <w:color w:themeColor="accent1" w:themeShade="BF" w:val="070B45"/>
      <w:sz w:val="28"/>
      <w:szCs w:val="28"/>
    </w:rPr>
  </w:style>
  <w:style w:styleId="UnresolvedMention" w:type="character">
    <w:name w:val="Unresolved Mention"/>
    <w:basedOn w:val="DefaultParagraphFont"/>
    <w:uiPriority w:val="99"/>
    <w:semiHidden/>
    <w:unhideWhenUsed/>
    <w:rsid w:val="009B0283"/>
    <w:rPr>
      <w:color w:val="605E5C"/>
      <w:shd w:color="auto" w:fill="E1DFDD" w:val="clear"/>
    </w:rPr>
  </w:style>
  <w:style w:customStyle="1" w:styleId="my-2" w:type="paragraph">
    <w:name w:val="my-2"/>
    <w:basedOn w:val="Normal"/>
    <w:rsid w:val="009B0283"/>
    <w:pPr>
      <w:spacing w:after="100" w:afterAutospacing="1" w:before="100" w:beforeAutospacing="1" w:line="240" w:lineRule="auto"/>
      <w:jc w:val="left"/>
    </w:pPr>
    <w:rPr>
      <w:rFonts w:ascii="Times New Roman" w:cs="Times New Roman" w:hAnsi="Times New Roman"/>
      <w:color w:val="auto"/>
      <w:sz w:val="24"/>
      <w:lang w:eastAsia="es-ES" w:val="es-ES"/>
    </w:rPr>
  </w:style>
  <w:style w:styleId="TableGridLight" w:type="table">
    <w:name w:val="Grid Table Light"/>
    <w:basedOn w:val="TableNormal"/>
    <w:uiPriority w:val="40"/>
    <w:rsid w:val="009B0283"/>
    <w:pPr>
      <w:spacing w:after="0" w:line="240" w:lineRule="auto"/>
    </w:pPr>
    <w:tblPr>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7" Target="numbering.xml" /><Relationship Type="http://schemas.openxmlformats.org/officeDocument/2006/relationships/styles" Id="rId16" Target="styles.xml" /><Relationship Type="http://schemas.openxmlformats.org/officeDocument/2006/relationships/settings" Id="rId15" Target="settings.xml" /><Relationship Type="http://schemas.openxmlformats.org/officeDocument/2006/relationships/webSettings" Id="rId14" Target="webSettings.xml" /><Relationship Type="http://schemas.openxmlformats.org/officeDocument/2006/relationships/fontTable" Id="rId13" Target="fontTable.xml" /><Relationship Type="http://schemas.openxmlformats.org/officeDocument/2006/relationships/theme" Id="rId12" Target="theme/theme1.xml" /><Relationship Type="http://schemas.openxmlformats.org/officeDocument/2006/relationships/footnotes" Id="rId11" Target="footnotes.xml" /><Relationship Type="http://schemas.openxmlformats.org/officeDocument/2006/relationships/comments" Id="rId10" Target="comments.xml" /><Relationship Id="rId8" Target="footer1.xml" Type="http://schemas.openxmlformats.org/officeDocument/2006/relationships/footer" /><Relationship Id="rId9" Target="header1.xml" Type="http://schemas.openxmlformats.org/officeDocument/2006/relationships/header" /></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notes.xml.rels><?xml version="1.0" encoding="UTF-8"?><Relationships xmlns="http://schemas.openxmlformats.org/package/2006/relationships" />
</file>

<file path=word/_rels/header1.xml.rels><?xml version="1.0" encoding="UTF-8" standalone="yes"?><Relationships xmlns="http://schemas.openxmlformats.org/package/2006/relationships"/>
</file>

<file path=word/theme/theme1.xml><?xml version="1.0" encoding="utf-8"?>
<a:theme xmlns:a="http://schemas.openxmlformats.org/drawingml/2006/main" name="Office Theme">
  <a:themeElements>
    <a:clrScheme name="EDPB Palette">
      <a:dk1>
        <a:srgbClr val="000000"/>
      </a:dk1>
      <a:lt1>
        <a:sysClr val="window" lastClr="FFFFFF"/>
      </a:lt1>
      <a:dk2>
        <a:srgbClr val="0A105D"/>
      </a:dk2>
      <a:lt2>
        <a:srgbClr val="E9ECEB"/>
      </a:lt2>
      <a:accent1>
        <a:srgbClr val="0A105D"/>
      </a:accent1>
      <a:accent2>
        <a:srgbClr val="08149C"/>
      </a:accent2>
      <a:accent3>
        <a:srgbClr val="0A105D"/>
      </a:accent3>
      <a:accent4>
        <a:srgbClr val="5EC2F7"/>
      </a:accent4>
      <a:accent5>
        <a:srgbClr val="000000"/>
      </a:accent5>
      <a:accent6>
        <a:srgbClr val="0A105D"/>
      </a:accent6>
      <a:hlink>
        <a:srgbClr val="08149C"/>
      </a:hlink>
      <a:folHlink>
        <a:srgbClr val="5EC2F7"/>
      </a:folHlink>
    </a:clrScheme>
    <a:fontScheme name="EDPB font">
      <a:majorFont>
        <a:latin typeface="Glory"/>
        <a:ea typeface=""/>
        <a:cs typeface=""/>
      </a:majorFont>
      <a:minorFont>
        <a:latin typeface="Glory"/>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4031</Words>
  <Characters>22981</Characters>
  <Application>Microsoft Office Word</Application>
  <DocSecurity>0</DocSecurity>
  <Lines>191</Lines>
  <Paragraphs>53</Paragraphs>
  <ScaleCrop>false</ScaleCrop>
  <Company/>
  <LinksUpToDate>false</LinksUpToDate>
  <CharactersWithSpaces>26959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2026-05-26T07:01:56Z</dcterms:created>
  <dcterms:modified xsi:type="dcterms:W3CDTF">2026-05-26T07:01:56Z</dcterms:modified>
</cp:coreProperties>
</file>

<file path=docProps/custom.xml><?xml version="1.0" encoding="utf-8"?>
<Properties xmlns="http://schemas.openxmlformats.org/officeDocument/2006/custom-properties" xmlns:vt="http://schemas.openxmlformats.org/officeDocument/2006/docPropsVTypes"/>
</file>