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FirstParagraph"/>
      </w:pPr>
      <w:r>
        <w:t xml:space="preserve">DPIA — Shyware Private Video Streaming (shystream-v1)</w:t>
      </w:r>
    </w:p>
    <w:p>
      <w:r>
        <w:pict>
          <v:rect style="width:0;height:1.5pt" o:hralign="center" o:hrstd="t" o:hr="t"/>
        </w:pict>
      </w:r>
    </w:p>
    <w:bookmarkStart w:id="22" w:name="overview-private-streaming"/>
    <w:p>
      <w:pPr>
        <w:pStyle w:val="Heading2"/>
      </w:pPr>
      <w:r>
        <w:t xml:space="preserve">OVERVIEW OF THE PROCESSING</w:t>
      </w:r>
    </w:p>
    <w:bookmarkStart w:id="18" w:name="controllers-private-streaming"/>
    <w:p>
      <w:pPr>
        <w:pStyle w:val="Heading3"/>
      </w:pPr>
      <w:r>
        <w:t xml:space="preserve">Controller(s)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operating a private video streaming platform using shystream-v1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Management units responsible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 Engineering; Legal / Compliance; Data Protection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 or similar function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DPO or privacy contact</w:t>
            </w:r>
          </w:p>
        </w:tc>
      </w:tr>
    </w:tbl>
    <w:bookmarkEnd w:id="18"/>
    <w:bookmarkStart w:id="19" w:name="processors-private-streaming"/>
    <w:p>
      <w:pPr>
        <w:pStyle w:val="Heading3"/>
      </w:pPr>
      <w:r>
        <w:t xml:space="preserve">Processor(s) and Sub-processor(s)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3650"/>
        <w:gridCol w:w="4961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Processor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Obligations and Tasks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co-mission LLC / Shyware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Provides SDK, shystream client, and optional hosted API under the Shyware DPA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Cloud infrastructure provider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Hosts canonical node, API, and database; processes personal data under Art. 28 DPA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provider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Biometric identity verification for identity-gated stream access and recovery workflows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Video infrastructure provider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CDN and origin serving for sealed video segments; receives sealed segment requests but not viewer identity</w:t>
            </w:r>
          </w:p>
        </w:tc>
      </w:tr>
    </w:tbl>
    <w:bookmarkEnd w:id="19"/>
    <w:bookmarkStart w:id="20" w:name="name-private-streaming"/>
    <w:p>
      <w:pPr>
        <w:pStyle w:val="Heading3"/>
      </w:pPr>
      <w:r>
        <w:t xml:space="preserve">Name of the Processing</w:t>
      </w:r>
    </w:p>
    <w:p>
      <w:pPr>
        <w:pStyle w:val="FirstParagraph"/>
      </w:pPr>
      <w:r>
        <w:rPr>
          <w:b/>
          <w:bCs/>
        </w:rPr>
        <w:t xml:space="preserve">Internal name:</w:t>
      </w:r>
      <w:r>
        <w:t xml:space="preserve"> </w:t>
      </w:r>
      <w:r>
        <w:t xml:space="preserve">Shyware Private Video Streaming / shystream-v1 DPIA</w:t>
      </w:r>
    </w:p>
    <w:p>
      <w:pPr>
        <w:pStyle w:val="BodyText"/>
      </w:pPr>
      <w:r>
        <w:rPr>
          <w:b/>
          <w:bCs/>
        </w:rPr>
        <w:t xml:space="preserve">Repository evidence:</w:t>
      </w:r>
      <w:r>
        <w:t xml:space="preserve"> </w:t>
      </w:r>
      <w:r>
        <w:rPr>
          <w:rStyle w:val="VerbatimChar"/>
        </w:rPr>
        <w:t xml:space="preserve">shyware/sdk/web/clients/utilities/streamClient.js</w:t>
      </w:r>
      <w:r>
        <w:t xml:space="preserve">;</w:t>
      </w:r>
      <w:r>
        <w:t xml:space="preserve"> </w:t>
      </w:r>
      <w:r>
        <w:rPr>
          <w:rStyle w:val="VerbatimChar"/>
        </w:rPr>
        <w:t xml:space="preserve">patent/mainhub/dpia/evidence_index.md</w:t>
      </w:r>
      <w:r>
        <w:t xml:space="preserve">.</w:t>
      </w:r>
    </w:p>
    <w:bookmarkEnd w:id="20"/>
    <w:bookmarkStart w:id="21" w:name="technical-sheet-private-streaming"/>
    <w:p>
      <w:pPr>
        <w:pStyle w:val="Heading3"/>
      </w:pPr>
      <w:r>
        <w:t xml:space="preserve">DPIA Technical Sheet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Current version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0.1 draft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Reason to conduct DPIA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High-risk processing: viewer identity and viewing behavior are both sensitive; correlation of viewer identity to content preferences constitutes profiling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video streaming using shystream-v1 sealed segment events; viewer identity excluded from canonical clip-view records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Publication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Internal domain DPIA; customer-specific adaptation required before production 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systematic-description-private-streaming"/>
    <w:p>
      <w:pPr>
        <w:numPr>
          <w:ilvl w:val="0"/>
          <w:numId w:val="1002"/>
        </w:numPr>
        <w:pStyle w:val="Heading2"/>
      </w:pPr>
      <w:r>
        <w:t xml:space="preserve">SYSTEMATIC DESCRIPTION OF THE PROCESSING</w:t>
      </w:r>
    </w:p>
    <w:bookmarkStart w:id="26" w:name="high-level-private-streaming"/>
    <w:p>
      <w:pPr>
        <w:numPr>
          <w:ilvl w:val="1"/>
          <w:numId w:val="1002"/>
        </w:numPr>
        <w:pStyle w:val="Heading3"/>
      </w:pPr>
      <w:r>
        <w:t xml:space="preserve">High-level Description of the Processing</w:t>
      </w:r>
    </w:p>
    <w:bookmarkStart w:id="23" w:name="processed-data-private-streaming"/>
    <w:p>
      <w:pPr>
        <w:numPr>
          <w:ilvl w:val="2"/>
          <w:numId w:val="1002"/>
        </w:numPr>
        <w:pStyle w:val="Heading4"/>
      </w:pPr>
      <w:r>
        <w:t xml:space="preserve">Processed Personal Data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62"/>
        <w:gridCol w:w="2995"/>
        <w:gridCol w:w="3838"/>
        <w:gridCol w:w="1966"/>
      </w:tblGrid>
      <w:tr>
        <w:trPr>
          <w:tblHeader w:val="on"/>
        </w:trP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Personal Data Item</w:t>
            </w:r>
          </w:p>
        </w:tc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Type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Special Category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Stream event identifier (List 1 record)</w:t>
            </w:r>
          </w:p>
        </w:tc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Direction-free opaque identifier; no viewer identity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segment payload (List 1 record)</w:t>
            </w:r>
          </w:p>
        </w:tc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AES-256-GCM sealed clip metadata; content inaccessible without sealer key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 (List 2 record)</w:t>
            </w:r>
          </w:p>
        </w:tc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SHA-256 of verified viewer identity; no clip identifier or direction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Aggregate view count per scoping period</w:t>
            </w:r>
          </w:p>
        </w:tc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Integer count of List 1 and List 2 entries; no individual linkage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Period-close attestation</w:t>
            </w:r>
          </w:p>
        </w:tc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HSM-signed Merkle roots over disjoint List 1 and List 2 sets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reconciling record</w:t>
            </w:r>
          </w:p>
        </w:tc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Per-viewer stream history; accessible only via identity-gated reconciling interface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Canonical state architecture:</w:t>
      </w:r>
      <w:r>
        <w:t xml:space="preserve"> </w:t>
      </w:r>
      <w:r>
        <w:t xml:space="preserve">Items 1–5 are canonical ledger records. No record in canonical state associates any List 1 stream event with any List 2 viewer identity hash. The rejection predicate refuses any state transition that would create such an association. Viewer identity is structurally absent from canonical clip-view records — not by policy, by write architecture.</w:t>
      </w:r>
    </w:p>
    <w:bookmarkEnd w:id="23"/>
    <w:bookmarkStart w:id="24" w:name="purposes-private-streaming"/>
    <w:p>
      <w:pPr>
        <w:numPr>
          <w:ilvl w:val="2"/>
          <w:numId w:val="1002"/>
        </w:numPr>
        <w:pStyle w:val="Heading4"/>
      </w:pPr>
      <w:r>
        <w:t xml:space="preserve">Purposes of the Processing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62"/>
        <w:gridCol w:w="2995"/>
        <w:gridCol w:w="1872"/>
        <w:gridCol w:w="3931"/>
      </w:tblGrid>
      <w:tr>
        <w:trPr>
          <w:tblHeader w:val="on"/>
        </w:trP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Personal Data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Legal Basis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video streaming — aggregate view tracking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Items 1, 2, 4, 5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Art. 6(1)(f) legitimate interests; identity not linkable to view in canonical state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— sybil and access control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 3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Art. 6(1)(b) / (f) service integrity; one canonical record per verified viewer per scoping period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Period-close attestation — compliance audit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 5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Art. 6(1)(f) / (c) aggregate only; no individual linkage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Viewer-authenticated stream history retrieval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 6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Art. 6(1)(b) contract performance; viewer-initiated only</w:t>
            </w:r>
          </w:p>
        </w:tc>
      </w:tr>
    </w:tbl>
    <w:bookmarkEnd w:id="24"/>
    <w:bookmarkStart w:id="25" w:name="authority-partition-private-streaming"/>
    <w:p>
      <w:pPr>
        <w:numPr>
          <w:ilvl w:val="2"/>
          <w:numId w:val="1002"/>
        </w:numPr>
        <w:pStyle w:val="Heading4"/>
      </w:pPr>
      <w:r>
        <w:t xml:space="preserve">Authority Partition</w:t>
      </w:r>
    </w:p>
    <w:p>
      <w:pPr>
        <w:pStyle w:val="FirstParagraph"/>
      </w:pPr>
      <w:r>
        <w:t xml:space="preserve">This is a sealer-governed embodiment (no unique-person count-match). Three parties: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872"/>
        <w:gridCol w:w="2902"/>
        <w:gridCol w:w="4586"/>
      </w:tblGrid>
      <w:tr>
        <w:trPr>
          <w:tblHeader w:val="on"/>
        </w:trP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Authority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type="pct" w:w="2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Structural Constraint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Auth (Cognito / Firebase)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layer; authentication gate for all API calls including erasure requests</w:t>
            </w:r>
          </w:p>
        </w:tc>
        <w:tc>
          <w:tcPr>
            <w:tcW w:type="pct" w:w="2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Does NOT hold a co-signature key;</w:t>
            </w:r>
            <w:r>
              <w:t xml:space="preserve"> </w:t>
            </w:r>
            <w:r>
              <w:rPr>
                <w:rStyle w:val="VerbatimChar"/>
              </w:rPr>
              <w:t xml:space="preserve">TxTypeAuthorityRescind</w:t>
            </w:r>
            <w:r>
              <w:t xml:space="preserve"> </w:t>
            </w:r>
            <w:r>
              <w:t xml:space="preserve">is structurally unavailable in sealer-governed deployments; erasure = sealer key deletion by reconciling authority on authenticated request; canonical L1/L2 records are BFT-immutable and persist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IDV/KYC (Didit)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Verifies account belongs to a real, verified viewer; assessed on authenticated users</w:t>
            </w:r>
          </w:p>
        </w:tc>
        <w:tc>
          <w:tcPr>
            <w:tcW w:type="pct" w:w="2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Cannot access sealer, linkage store, or authorize canonical actions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authority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store + sealer keys</w:t>
            </w:r>
          </w:p>
        </w:tc>
        <w:tc>
          <w:tcPr>
            <w:tcW w:type="pct" w:w="2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eligibility authority key registered; rescission pathway unavailable by construction; worst-case unilateral threat is payload disclosure via sealer key</w:t>
            </w:r>
          </w:p>
        </w:tc>
      </w:tr>
    </w:tbl>
    <w:bookmarkEnd w:id="25"/>
    <w:bookmarkEnd w:id="26"/>
    <w:bookmarkEnd w:id="27"/>
    <w:bookmarkStart w:id="30" w:name="analysis-private-streaming"/>
    <w:p>
      <w:pPr>
        <w:numPr>
          <w:ilvl w:val="0"/>
          <w:numId w:val="1002"/>
        </w:numPr>
        <w:pStyle w:val="Heading2"/>
      </w:pPr>
      <w:r>
        <w:t xml:space="preserve">ANALYSIS OF THE PROCESSING</w:t>
      </w:r>
    </w:p>
    <w:bookmarkStart w:id="28" w:name="lawfulness-private-streaming"/>
    <w:p>
      <w:pPr>
        <w:numPr>
          <w:ilvl w:val="1"/>
          <w:numId w:val="1002"/>
        </w:numPr>
        <w:pStyle w:val="Heading3"/>
      </w:pPr>
      <w:r>
        <w:t xml:space="preserve">Lawfulness of the Processing</w:t>
      </w:r>
    </w:p>
    <w:p>
      <w:pPr>
        <w:pStyle w:val="FirstParagraph"/>
      </w:pPr>
      <w:r>
        <w:t xml:space="preserve">Customer controllers must define the lawful basis per deployment. The primary basis for aggregate view-event processing is Art. 6(1)(f) legitimate interests, supported by the structural non-linkability of viewer identity to clip-view direction in canonical state. Where personalized streaming history or viewer profiling occurs through the off-chain reconciling store, the legal basis for that secondary processing must be separately assessed.</w:t>
      </w:r>
    </w:p>
    <w:bookmarkEnd w:id="28"/>
    <w:bookmarkStart w:id="29" w:name="minimisation-private-streaming"/>
    <w:p>
      <w:pPr>
        <w:numPr>
          <w:ilvl w:val="1"/>
          <w:numId w:val="1002"/>
        </w:numPr>
        <w:pStyle w:val="Heading3"/>
      </w:pPr>
      <w:r>
        <w:t xml:space="preserve">Data Minimisation and Retention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21"/>
        <w:gridCol w:w="3931"/>
        <w:gridCol w:w="2808"/>
      </w:tblGrid>
      <w:tr>
        <w:trPr>
          <w:tblHeader w:val="on"/>
        </w:trP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Item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Minimisation Position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Open Review Item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segment payload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Store only metadata necessary for entitlement verification; minimize content fingerprinting data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prohibited fields and payload schema gates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 to product and scoping period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Confirm no cross-product reusable identifier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reconciling record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Disable unless viewer history retrieval is required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retention, access policy, and dual-control review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Video CDN logs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Exclude viewer identity from CDN request logs where possible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Confirm CDN provider DPA and log-minimization configuration</w:t>
            </w:r>
          </w:p>
        </w:tc>
      </w:tr>
    </w:tbl>
    <w:bookmarkEnd w:id="29"/>
    <w:bookmarkEnd w:id="30"/>
    <w:bookmarkStart w:id="34" w:name="risk-private-streaming"/>
    <w:p>
      <w:pPr>
        <w:numPr>
          <w:ilvl w:val="0"/>
          <w:numId w:val="1002"/>
        </w:numPr>
        <w:pStyle w:val="Heading2"/>
      </w:pPr>
      <w:r>
        <w:t xml:space="preserve">RISK ASSESSMENT</w:t>
      </w:r>
    </w:p>
    <w:bookmarkStart w:id="31" w:name="threats-private-streaming"/>
    <w:p>
      <w:pPr>
        <w:numPr>
          <w:ilvl w:val="2"/>
          <w:numId w:val="1002"/>
        </w:numPr>
        <w:pStyle w:val="Heading4"/>
      </w:pPr>
      <w:r>
        <w:t xml:space="preserve">Threats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55"/>
        <w:gridCol w:w="2527"/>
        <w:gridCol w:w="4212"/>
        <w:gridCol w:w="1966"/>
      </w:tblGrid>
      <w:tr>
        <w:trPr>
          <w:tblHeader w:val="on"/>
        </w:trP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Threat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Materialisation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Initial Risk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Viewer-content correlation via CDN logs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CDN provider retains per-request logs linking IP to content segment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disclosure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authority discloses or loses sealer keys; sealed payloads become accessible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Cross-scoping-period viewer linkage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 reused across scoping periods enabling long-term viewing pattern reconstruction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Medium/High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Video segment fingerprinting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Third party correlates content segments to viewer via traffic analysis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Deletion failure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Canonical/off-chain/CDN stores diverge on erasure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1"/>
    <w:bookmarkStart w:id="32" w:name="residual-risk-private-streaming"/>
    <w:p>
      <w:pPr>
        <w:numPr>
          <w:ilvl w:val="2"/>
          <w:numId w:val="1002"/>
        </w:numPr>
        <w:pStyle w:val="Heading4"/>
      </w:pPr>
      <w:r>
        <w:t xml:space="preserve">Residual Risk Assessment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153"/>
        <w:gridCol w:w="3744"/>
        <w:gridCol w:w="749"/>
        <w:gridCol w:w="749"/>
        <w:gridCol w:w="749"/>
        <w:gridCol w:w="1217"/>
      </w:tblGrid>
      <w:tr>
        <w:trPr>
          <w:tblHeader w:val="on"/>
        </w:trP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Additional Measures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Likelihood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Severity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Level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Acceptable?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CDN log correlation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CDN DPA with log minimization; sealed segment requests without viewer identity in CDN layer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CDN DPA and log configuration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disclosure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Dual-control sealer access; audit logs; WORM backup on separate provider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with dual-control implemented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Cross-period linkage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 identity hashes per product, scoping period, and viewer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with derivation evidence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Segment fingerprinting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Segment obfuscation; avoid predictable segment naming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with obfuscation implemented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Deletion failure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End-to-end deletion evidence: canonical, off-chain, CDN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deletion evidence attachment</w:t>
            </w:r>
          </w:p>
        </w:tc>
      </w:tr>
    </w:tbl>
    <w:bookmarkEnd w:id="32"/>
    <w:bookmarkStart w:id="33" w:name="Xa40fbff4f21db8c39253db3c218017975756e93"/>
    <w:p>
      <w:pPr>
        <w:numPr>
          <w:ilvl w:val="2"/>
          <w:numId w:val="1002"/>
        </w:numPr>
        <w:pStyle w:val="Heading4"/>
      </w:pPr>
      <w:r>
        <w:t xml:space="preserve">Operator Compliance Instructions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6 lawfulness basis</w:t>
      </w:r>
      <w:r>
        <w:t xml:space="preserve"> </w:t>
      </w:r>
      <w:r>
        <w:t xml:space="preserve">— Identify and document the legal basis for each processing purpose before production. Aggregate view-event processing: Art. 6(1)(f). Personalized history: assess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28 sub-processor DPAs</w:t>
      </w:r>
      <w:r>
        <w:t xml:space="preserve"> </w:t>
      </w:r>
      <w:r>
        <w:t xml:space="preserve">— Execute signed DPAs with cloud infrastructure, IDV provider, and video CDN provider before processing personal data.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CDN log minimization</w:t>
      </w:r>
      <w:r>
        <w:t xml:space="preserve"> </w:t>
      </w:r>
      <w:r>
        <w:t xml:space="preserve">— Configure the video CDN provider to minimize retention of per-request logs that could link viewer identity to content segments.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30 Records of Processing</w:t>
      </w:r>
      <w:r>
        <w:t xml:space="preserve"> </w:t>
      </w:r>
      <w:r>
        <w:t xml:space="preserve">— Generate from shyconfig using</w:t>
      </w:r>
      <w:r>
        <w:t xml:space="preserve"> </w:t>
      </w:r>
      <w:r>
        <w:rPr>
          <w:rStyle w:val="VerbatimChar"/>
        </w:rPr>
        <w:t xml:space="preserve">generate-rop.mjs</w:t>
      </w:r>
      <w:r>
        <w:t xml:space="preserve">; complete all</w:t>
      </w:r>
      <w:r>
        <w:t xml:space="preserve"> </w:t>
      </w:r>
      <w:r>
        <w:rPr>
          <w:rStyle w:val="VerbatimChar"/>
        </w:rPr>
        <w:t xml:space="preserve">REQUIRED_OPERATOR_INPUT</w:t>
      </w:r>
      <w:r>
        <w:t xml:space="preserve"> </w:t>
      </w:r>
      <w:r>
        <w:t xml:space="preserve">fields.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Storage limitation (Art. 5(1)(e))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block to shyconfig.json; configure and enforce deletion cron for sealed segment records and off-chain linkage.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17 erasure path</w:t>
      </w:r>
      <w:r>
        <w:t xml:space="preserve"> </w:t>
      </w:r>
      <w:r>
        <w:t xml:space="preserve">— Erasure = sealer key deletion by reconciling authority on authenticated viewer request; canonical L1/L2 records persist (BFT-immutable); payload becomes permanently undecryptable. Ensure CDN-layer segment references are also purged.</w:t>
      </w:r>
    </w:p>
    <w:bookmarkEnd w:id="33"/>
    <w:bookmarkEnd w:id="34"/>
    <w:bookmarkStart w:id="35" w:name="conclusion-private-streaming"/>
    <w:p>
      <w:pPr>
        <w:numPr>
          <w:ilvl w:val="0"/>
          <w:numId w:val="1002"/>
        </w:numPr>
        <w:pStyle w:val="Heading2"/>
      </w:pPr>
      <w:r>
        <w:t xml:space="preserve">CONCLUSION AND DECISION</w:t>
      </w:r>
    </w:p>
    <w:p>
      <w:pPr>
        <w:pStyle w:val="FirstParagraph"/>
      </w:pPr>
      <w:r>
        <w:rPr>
          <w:b/>
          <w:bCs/>
        </w:rPr>
        <w:t xml:space="preserve">Draft decision:</w:t>
      </w:r>
      <w:r>
        <w:t xml:space="preserve"> </w:t>
      </w:r>
      <w:r>
        <w:t xml:space="preserve">Conditional approval. The shystream-v1 canonical state architecture achieves structural non-linkability between viewer identity and clip-view events. The residual risks lie in CDN log correlation, sealer key governance, and erasure completeness across the CDN layer. Production deployment requires: CDN DPA with log minimization, dual-control sealer key access, scoping-period-scoped identity hashes, and end-to-end deletion evidence covering canonical, off-chain, and CDN stores.</w:t>
      </w:r>
    </w:p>
    <w:bookmarkEnd w:id="35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Domain DPIA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2026-05-26T07:01:57Z</dcterms:created>
  <dcterms:modified xsi:type="dcterms:W3CDTF">2026-05-26T07:01:57Z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