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986B" w14:textId="77777777" w:rsidR="00B847F1" w:rsidRDefault="00000000">
      <w:pPr>
        <w:spacing w:before="1440" w:after="240"/>
        <w:jc w:val="center"/>
      </w:pPr>
      <w:r>
        <w:rPr>
          <w:b/>
          <w:bCs/>
          <w:color w:val="1F3864"/>
          <w:sz w:val="52"/>
          <w:szCs w:val="52"/>
        </w:rPr>
        <w:t>S&amp;P 500 DCF Valuation Dashboard</w:t>
      </w:r>
    </w:p>
    <w:p w14:paraId="7329986C" w14:textId="77777777" w:rsidR="00B847F1" w:rsidRDefault="00000000">
      <w:pPr>
        <w:spacing w:after="120"/>
        <w:jc w:val="center"/>
      </w:pPr>
      <w:r>
        <w:rPr>
          <w:color w:val="2E75B6"/>
          <w:sz w:val="32"/>
          <w:szCs w:val="32"/>
        </w:rPr>
        <w:t>Methodology, Analysis &amp; Reference Guide — Version 3</w:t>
      </w:r>
    </w:p>
    <w:p w14:paraId="7329986D" w14:textId="77777777" w:rsidR="00B847F1" w:rsidRDefault="00B847F1">
      <w:pPr>
        <w:pBdr>
          <w:bottom w:val="single" w:sz="6" w:space="1" w:color="2E75B6"/>
        </w:pBdr>
        <w:spacing w:before="480" w:after="60"/>
        <w:jc w:val="center"/>
      </w:pPr>
    </w:p>
    <w:p w14:paraId="7329986E" w14:textId="77777777" w:rsidR="00B847F1" w:rsidRDefault="00B847F1">
      <w:pPr>
        <w:spacing w:before="60" w:after="60"/>
      </w:pPr>
    </w:p>
    <w:p w14:paraId="7329986F" w14:textId="77777777" w:rsidR="00B847F1" w:rsidRDefault="00000000">
      <w:pPr>
        <w:spacing w:before="120" w:after="60"/>
        <w:jc w:val="center"/>
      </w:pPr>
      <w:r>
        <w:rPr>
          <w:b/>
          <w:bCs/>
          <w:color w:val="404040"/>
          <w:sz w:val="24"/>
          <w:szCs w:val="24"/>
        </w:rPr>
        <w:t>Prepared by: Tj</w:t>
      </w:r>
    </w:p>
    <w:p w14:paraId="73299870" w14:textId="77777777" w:rsidR="00B847F1" w:rsidRDefault="00000000">
      <w:pPr>
        <w:spacing w:before="60" w:after="60"/>
        <w:jc w:val="center"/>
      </w:pPr>
      <w:r>
        <w:rPr>
          <w:color w:val="666666"/>
        </w:rPr>
        <w:t>April 2026</w:t>
      </w:r>
    </w:p>
    <w:p w14:paraId="73299871" w14:textId="77777777" w:rsidR="00B847F1" w:rsidRDefault="00000000">
      <w:pPr>
        <w:spacing w:before="60" w:after="60"/>
        <w:jc w:val="center"/>
      </w:pPr>
      <w:r>
        <w:rPr>
          <w:color w:val="666666"/>
        </w:rPr>
        <w:t>503 S&amp;P 500 Stocks  |  6-Page Interactive Dashboard  |  Power BI  |  SQL Server DCFRegime</w:t>
      </w:r>
    </w:p>
    <w:p w14:paraId="73299872"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7F1" w14:paraId="732998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3299873" w14:textId="77777777" w:rsidR="00B847F1" w:rsidRDefault="00000000">
            <w:pPr>
              <w:spacing w:after="60"/>
            </w:pPr>
            <w:r>
              <w:rPr>
                <w:b/>
                <w:bCs/>
                <w:color w:val="2E75B6"/>
              </w:rPr>
              <w:t>Purpose</w:t>
            </w:r>
          </w:p>
          <w:p w14:paraId="73299874" w14:textId="77777777" w:rsidR="00B847F1" w:rsidRDefault="00000000">
            <w:r>
              <w:rPr>
                <w:color w:val="404040"/>
              </w:rPr>
              <w:t>This document provides a complete reference for the S&amp;P 500 DCF Valuation Dashboard — covering the three-pillar investment framework, DCF methodology, data infrastructure, DAX measures, Python pipeline, stress-testing approach, key analytical findings, daily/weekly/monthly usage framework, and interview talking points. Version 3 adds the Valuation Engine, Stress-Testing Engine, and Research Engine pages.</w:t>
            </w:r>
          </w:p>
        </w:tc>
      </w:tr>
    </w:tbl>
    <w:p w14:paraId="73299876" w14:textId="77777777" w:rsidR="00B847F1" w:rsidRDefault="00000000">
      <w:r>
        <w:br w:type="page"/>
      </w:r>
    </w:p>
    <w:p w14:paraId="73299877" w14:textId="77777777" w:rsidR="00B847F1" w:rsidRDefault="00000000">
      <w:pPr>
        <w:pStyle w:val="Heading1"/>
      </w:pPr>
      <w:r>
        <w:lastRenderedPageBreak/>
        <w:t>1. Executive Summary</w:t>
      </w:r>
    </w:p>
    <w:p w14:paraId="73299878" w14:textId="77777777" w:rsidR="00B847F1" w:rsidRDefault="00000000">
      <w:pPr>
        <w:spacing w:before="60" w:after="60"/>
      </w:pPr>
      <w:r>
        <w:rPr>
          <w:color w:val="404040"/>
        </w:rPr>
        <w:t>This dashboard applies Discounted Cash Flow (DCF) valuation methodology to 503 S&amp;P 500 stocks to identify companies trading below their intrinsic value. The core investing thesis: great companies bought at undervalued prices produce superior long-term returns. A stock is only a good investment at the right price — this dashboard finds that price.</w:t>
      </w:r>
    </w:p>
    <w:p w14:paraId="73299879" w14:textId="77777777" w:rsidR="00B847F1" w:rsidRDefault="00B847F1">
      <w:pPr>
        <w:spacing w:before="60" w:after="60"/>
      </w:pPr>
    </w:p>
    <w:p w14:paraId="7329987A" w14:textId="77777777" w:rsidR="00B847F1" w:rsidRDefault="00000000">
      <w:pPr>
        <w:spacing w:before="60" w:after="60"/>
      </w:pPr>
      <w:r>
        <w:rPr>
          <w:color w:val="404040"/>
        </w:rPr>
        <w:t>The dashboard is built around three strategic pillars that work together to ensure findings are credible, not just compelling:</w:t>
      </w:r>
    </w:p>
    <w:p w14:paraId="7329987B"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B847F1" w14:paraId="7329987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7C" w14:textId="77777777" w:rsidR="00B847F1" w:rsidRDefault="00000000">
            <w:r>
              <w:rPr>
                <w:b/>
                <w:bCs/>
                <w:color w:val="FFFFFF"/>
                <w:sz w:val="20"/>
                <w:szCs w:val="20"/>
              </w:rPr>
              <w:t>Pillar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7D" w14:textId="77777777" w:rsidR="00B847F1" w:rsidRDefault="00000000">
            <w:r>
              <w:rPr>
                <w:b/>
                <w:bCs/>
                <w:color w:val="FFFFFF"/>
                <w:sz w:val="20"/>
                <w:szCs w:val="20"/>
              </w:rPr>
              <w:t>Pages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7E" w14:textId="77777777" w:rsidR="00B847F1" w:rsidRDefault="00000000">
            <w:r>
              <w:rPr>
                <w:b/>
                <w:bCs/>
                <w:color w:val="FFFFFF"/>
                <w:sz w:val="20"/>
                <w:szCs w:val="20"/>
              </w:rPr>
              <w:t>Purpose</w:t>
            </w:r>
          </w:p>
        </w:tc>
      </w:tr>
      <w:tr w:rsidR="00B847F1" w14:paraId="7329988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0" w14:textId="77777777" w:rsidR="00B847F1" w:rsidRDefault="00000000">
            <w:r>
              <w:rPr>
                <w:b/>
                <w:bCs/>
                <w:color w:val="404040"/>
                <w:sz w:val="20"/>
                <w:szCs w:val="20"/>
              </w:rPr>
              <w:t>Valuation Engine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1" w14:textId="77777777" w:rsidR="00B847F1" w:rsidRDefault="00000000">
            <w:r>
              <w:rPr>
                <w:color w:val="404040"/>
                <w:sz w:val="20"/>
                <w:szCs w:val="20"/>
              </w:rPr>
              <w:t>Pages 1, 2, 5</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2" w14:textId="77777777" w:rsidR="00B847F1" w:rsidRDefault="00000000">
            <w:r>
              <w:rPr>
                <w:color w:val="404040"/>
                <w:sz w:val="20"/>
                <w:szCs w:val="20"/>
              </w:rPr>
              <w:t>Identifies where value exists and how it is distributed. Answers: where does the model see value and how concentrated is it?</w:t>
            </w:r>
          </w:p>
        </w:tc>
      </w:tr>
      <w:tr w:rsidR="00B847F1" w14:paraId="7329988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84" w14:textId="77777777" w:rsidR="00B847F1" w:rsidRDefault="00000000">
            <w:r>
              <w:rPr>
                <w:b/>
                <w:bCs/>
                <w:color w:val="404040"/>
                <w:sz w:val="20"/>
                <w:szCs w:val="20"/>
              </w:rPr>
              <w:t>Stress-Testing Engine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85" w14:textId="77777777" w:rsidR="00B847F1" w:rsidRDefault="00000000">
            <w:r>
              <w:rPr>
                <w:color w:val="404040"/>
                <w:sz w:val="20"/>
                <w:szCs w:val="20"/>
              </w:rPr>
              <w:t>Pages 3, 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86" w14:textId="77777777" w:rsidR="00B847F1" w:rsidRDefault="00000000">
            <w:r>
              <w:rPr>
                <w:color w:val="404040"/>
                <w:sz w:val="20"/>
                <w:szCs w:val="20"/>
              </w:rPr>
              <w:t>Validates how fragile or durable valuations are. Answers: what survives assumption stress and which signals deserve trust?</w:t>
            </w:r>
          </w:p>
        </w:tc>
      </w:tr>
      <w:tr w:rsidR="00B847F1" w14:paraId="7329988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8" w14:textId="77777777" w:rsidR="00B847F1" w:rsidRDefault="00000000">
            <w:r>
              <w:rPr>
                <w:b/>
                <w:bCs/>
                <w:color w:val="404040"/>
                <w:sz w:val="20"/>
                <w:szCs w:val="20"/>
              </w:rPr>
              <w:t>Research Engine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9" w14:textId="77777777" w:rsidR="00B847F1" w:rsidRDefault="00000000">
            <w:r>
              <w:rPr>
                <w:color w:val="404040"/>
                <w:sz w:val="20"/>
                <w:szCs w:val="20"/>
              </w:rPr>
              <w:t>Page 5 (trend lines)</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88A" w14:textId="77777777" w:rsidR="00B847F1" w:rsidRDefault="00000000">
            <w:r>
              <w:rPr>
                <w:color w:val="404040"/>
                <w:sz w:val="20"/>
                <w:szCs w:val="20"/>
              </w:rPr>
              <w:t>Tracks signals over time for persistence and relevance. Answers: does the signal persist and matter beyond a single snapshot?</w:t>
            </w:r>
          </w:p>
        </w:tc>
      </w:tr>
    </w:tbl>
    <w:p w14:paraId="7329988C" w14:textId="77777777" w:rsidR="00B847F1" w:rsidRDefault="00B847F1">
      <w:pPr>
        <w:spacing w:before="60" w:after="60"/>
      </w:pPr>
    </w:p>
    <w:p w14:paraId="7329988D" w14:textId="77777777" w:rsidR="00B847F1" w:rsidRDefault="00000000">
      <w:pPr>
        <w:spacing w:before="60" w:after="60"/>
      </w:pPr>
      <w:r>
        <w:rPr>
          <w:color w:val="404040"/>
        </w:rPr>
        <w:t>The dashboard spans six interactive pages:</w:t>
      </w:r>
    </w:p>
    <w:p w14:paraId="7329988E" w14:textId="77777777" w:rsidR="00B847F1" w:rsidRDefault="00B847F1">
      <w:pPr>
        <w:spacing w:before="60" w:after="60"/>
      </w:pPr>
    </w:p>
    <w:p w14:paraId="7329988F" w14:textId="77777777" w:rsidR="00B847F1" w:rsidRDefault="00000000">
      <w:pPr>
        <w:pStyle w:val="ListParagraph"/>
        <w:numPr>
          <w:ilvl w:val="0"/>
          <w:numId w:val="2"/>
        </w:numPr>
        <w:spacing w:before="40" w:after="40"/>
      </w:pPr>
      <w:r>
        <w:rPr>
          <w:color w:val="404040"/>
        </w:rPr>
        <w:t>Page 1 — Valuation Overview: Quick screening to identify the biggest opportunities across all 503 stocks</w:t>
      </w:r>
    </w:p>
    <w:p w14:paraId="73299890" w14:textId="77777777" w:rsidR="00B847F1" w:rsidRDefault="00000000">
      <w:pPr>
        <w:pStyle w:val="ListParagraph"/>
        <w:numPr>
          <w:ilvl w:val="0"/>
          <w:numId w:val="2"/>
        </w:numPr>
        <w:spacing w:before="40" w:after="40"/>
      </w:pPr>
      <w:r>
        <w:rPr>
          <w:color w:val="404040"/>
        </w:rPr>
        <w:t>Page 2 — DCF Deep Dive: Detailed fundamental analysis with all key metrics per stock</w:t>
      </w:r>
    </w:p>
    <w:p w14:paraId="73299891" w14:textId="77777777" w:rsidR="00B847F1" w:rsidRDefault="00000000">
      <w:pPr>
        <w:pStyle w:val="ListParagraph"/>
        <w:numPr>
          <w:ilvl w:val="0"/>
          <w:numId w:val="2"/>
        </w:numPr>
        <w:spacing w:before="40" w:after="40"/>
      </w:pPr>
      <w:r>
        <w:rPr>
          <w:color w:val="404040"/>
        </w:rPr>
        <w:t>Page 3 — Scenario Analysis: Sensitivity testing across three assumption sets</w:t>
      </w:r>
    </w:p>
    <w:p w14:paraId="73299892" w14:textId="77777777" w:rsidR="00B847F1" w:rsidRDefault="00000000">
      <w:pPr>
        <w:pStyle w:val="ListParagraph"/>
        <w:numPr>
          <w:ilvl w:val="0"/>
          <w:numId w:val="2"/>
        </w:numPr>
        <w:spacing w:before="40" w:after="40"/>
      </w:pPr>
      <w:r>
        <w:rPr>
          <w:color w:val="404040"/>
        </w:rPr>
        <w:t>Page 4 — Valuation &amp; Research Engine: Distribution integrity, sector dispersion, historical trend tracking</w:t>
      </w:r>
    </w:p>
    <w:p w14:paraId="73299893" w14:textId="77777777" w:rsidR="00B847F1" w:rsidRDefault="00000000">
      <w:pPr>
        <w:pStyle w:val="ListParagraph"/>
        <w:numPr>
          <w:ilvl w:val="0"/>
          <w:numId w:val="2"/>
        </w:numPr>
        <w:spacing w:before="40" w:after="40"/>
      </w:pPr>
      <w:r>
        <w:rPr>
          <w:color w:val="404040"/>
        </w:rPr>
        <w:t>Page 5 — Stress-Testing Engine: Assumption fragility, durability classification, model risk flags</w:t>
      </w:r>
    </w:p>
    <w:p w14:paraId="73299894" w14:textId="77777777" w:rsidR="00B847F1" w:rsidRDefault="00000000">
      <w:pPr>
        <w:pStyle w:val="ListParagraph"/>
        <w:numPr>
          <w:ilvl w:val="0"/>
          <w:numId w:val="2"/>
        </w:numPr>
        <w:spacing w:before="40" w:after="40"/>
      </w:pPr>
      <w:r>
        <w:rPr>
          <w:color w:val="404040"/>
        </w:rPr>
        <w:t>Page 6 — Dashboard Guide: Complete methodology reference and self-contained explanation</w:t>
      </w:r>
    </w:p>
    <w:p w14:paraId="73299895" w14:textId="77777777" w:rsidR="00B847F1" w:rsidRDefault="00B847F1">
      <w:pPr>
        <w:spacing w:before="60" w:after="60"/>
      </w:pPr>
    </w:p>
    <w:p w14:paraId="73299896" w14:textId="77777777" w:rsidR="00B847F1" w:rsidRDefault="00000000">
      <w:pPr>
        <w:spacing w:before="60" w:after="60"/>
      </w:pPr>
      <w:r>
        <w:rPr>
          <w:color w:val="404040"/>
        </w:rPr>
        <w:t>Key findings from the current analysis (April 2026):</w:t>
      </w:r>
    </w:p>
    <w:p w14:paraId="73299897" w14:textId="77777777" w:rsidR="00B847F1" w:rsidRDefault="00B847F1">
      <w:pPr>
        <w:spacing w:before="60" w:after="60"/>
      </w:pPr>
    </w:p>
    <w:p w14:paraId="73299898" w14:textId="77777777" w:rsidR="00B847F1" w:rsidRDefault="00000000">
      <w:pPr>
        <w:pStyle w:val="ListParagraph"/>
        <w:numPr>
          <w:ilvl w:val="0"/>
          <w:numId w:val="2"/>
        </w:numPr>
        <w:spacing w:before="40" w:after="40"/>
      </w:pPr>
      <w:r>
        <w:rPr>
          <w:color w:val="404040"/>
        </w:rPr>
        <w:t>The market is more expensive than it appears — median gap (-19.1%) is 8.1 points more negative than average (-11.0%), revealing outlier distortion</w:t>
      </w:r>
    </w:p>
    <w:p w14:paraId="73299899" w14:textId="77777777" w:rsidR="00B847F1" w:rsidRDefault="00000000">
      <w:pPr>
        <w:pStyle w:val="ListParagraph"/>
        <w:numPr>
          <w:ilvl w:val="0"/>
          <w:numId w:val="2"/>
        </w:numPr>
        <w:spacing w:before="40" w:after="40"/>
      </w:pPr>
      <w:r>
        <w:rPr>
          <w:color w:val="404040"/>
        </w:rPr>
        <w:t>Communication Services is the standout sector at +190.5% average gap — more than double second-place Health Care</w:t>
      </w:r>
    </w:p>
    <w:p w14:paraId="7329989A" w14:textId="77777777" w:rsidR="00B847F1" w:rsidRDefault="00000000">
      <w:pPr>
        <w:pStyle w:val="ListParagraph"/>
        <w:numPr>
          <w:ilvl w:val="0"/>
          <w:numId w:val="2"/>
        </w:numPr>
        <w:spacing w:before="40" w:after="40"/>
      </w:pPr>
      <w:r>
        <w:rPr>
          <w:color w:val="404040"/>
        </w:rPr>
        <w:t>Only 57 of 136 BUY signals qualify as Robust BUY — 48.5% of BUY signals collapse under conservative assumptions</w:t>
      </w:r>
    </w:p>
    <w:p w14:paraId="7329989B" w14:textId="77777777" w:rsidR="00B847F1" w:rsidRDefault="00000000">
      <w:pPr>
        <w:pStyle w:val="ListParagraph"/>
        <w:numPr>
          <w:ilvl w:val="0"/>
          <w:numId w:val="2"/>
        </w:numPr>
        <w:spacing w:before="40" w:after="40"/>
      </w:pPr>
      <w:r>
        <w:rPr>
          <w:color w:val="404040"/>
        </w:rPr>
        <w:lastRenderedPageBreak/>
        <w:t>239 stocks are Robust SELL — overvalued under both conservative and base case assumptions</w:t>
      </w:r>
    </w:p>
    <w:p w14:paraId="7329989D" w14:textId="1F99D03A" w:rsidR="00B847F1" w:rsidRDefault="00000000" w:rsidP="005A0630">
      <w:pPr>
        <w:pStyle w:val="ListParagraph"/>
        <w:numPr>
          <w:ilvl w:val="0"/>
          <w:numId w:val="2"/>
        </w:numPr>
        <w:spacing w:before="40" w:after="40"/>
      </w:pPr>
      <w:r>
        <w:rPr>
          <w:color w:val="404040"/>
        </w:rPr>
        <w:t>Technology requires bull-case assumptions just to justify current prices — NVDA, MSFT, AMZN all Robust SELL</w:t>
      </w:r>
    </w:p>
    <w:p w14:paraId="7329989E" w14:textId="77777777" w:rsidR="00B847F1" w:rsidRDefault="00000000">
      <w:pPr>
        <w:pStyle w:val="Heading1"/>
      </w:pPr>
      <w:r>
        <w:t>2. Three-Pillar Framework</w:t>
      </w:r>
    </w:p>
    <w:p w14:paraId="7329989F" w14:textId="77777777" w:rsidR="00B847F1" w:rsidRDefault="00000000">
      <w:pPr>
        <w:pStyle w:val="Heading2"/>
      </w:pPr>
      <w:r>
        <w:t>2.1 Why Three Pillars</w:t>
      </w:r>
    </w:p>
    <w:p w14:paraId="732998A0" w14:textId="77777777" w:rsidR="00B847F1" w:rsidRDefault="00000000">
      <w:pPr>
        <w:spacing w:before="60" w:after="60"/>
      </w:pPr>
      <w:r>
        <w:rPr>
          <w:color w:val="404040"/>
        </w:rPr>
        <w:t>A single DCF output tells you what the model says. It does not tell you how much to trust it. The three-pillar framework addresses this by separating the analytical work into distinct layers — valuation, stress-testing, and research — each of which answers a different question about the opportunity set.</w:t>
      </w:r>
    </w:p>
    <w:p w14:paraId="732998A1"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7F1" w14:paraId="732998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32998A2" w14:textId="77777777" w:rsidR="00B847F1" w:rsidRDefault="00000000">
            <w:pPr>
              <w:spacing w:after="60"/>
            </w:pPr>
            <w:r>
              <w:rPr>
                <w:b/>
                <w:bCs/>
                <w:color w:val="2E75B6"/>
              </w:rPr>
              <w:t>Central design principle</w:t>
            </w:r>
          </w:p>
          <w:p w14:paraId="732998A3" w14:textId="77777777" w:rsidR="00B847F1" w:rsidRDefault="00000000">
            <w:r>
              <w:rPr>
                <w:color w:val="404040"/>
              </w:rPr>
              <w:t>The next step is not to add more valuation output. It is to add more trust architecture around the valuation output. A finding that survives stress testing deserves significantly more weight than one that only looks good under favorable assumptions.</w:t>
            </w:r>
          </w:p>
        </w:tc>
      </w:tr>
    </w:tbl>
    <w:p w14:paraId="732998A5" w14:textId="77777777" w:rsidR="00B847F1" w:rsidRDefault="00B847F1">
      <w:pPr>
        <w:spacing w:before="60" w:after="60"/>
      </w:pPr>
    </w:p>
    <w:p w14:paraId="732998A6" w14:textId="77777777" w:rsidR="00B847F1" w:rsidRDefault="00000000">
      <w:pPr>
        <w:pStyle w:val="Heading2"/>
      </w:pPr>
      <w:r>
        <w:t>2.2 Valuation Engine — Pages 1, 2, 5</w:t>
      </w:r>
    </w:p>
    <w:p w14:paraId="732998A7" w14:textId="77777777" w:rsidR="00B847F1" w:rsidRDefault="00000000">
      <w:pPr>
        <w:spacing w:before="60" w:after="60"/>
      </w:pPr>
      <w:r>
        <w:rPr>
          <w:color w:val="404040"/>
        </w:rPr>
        <w:t>The Valuation Engine is the core screening and distribution analysis layer. It answers where value exists and how it is distributed across the S&amp;P 500 universe.</w:t>
      </w:r>
    </w:p>
    <w:p w14:paraId="732998A8" w14:textId="77777777" w:rsidR="00B847F1" w:rsidRDefault="00B847F1">
      <w:pPr>
        <w:spacing w:before="60" w:after="60"/>
      </w:pPr>
    </w:p>
    <w:p w14:paraId="732998A9" w14:textId="77777777" w:rsidR="00B847F1" w:rsidRDefault="00000000">
      <w:pPr>
        <w:pStyle w:val="ListParagraph"/>
        <w:numPr>
          <w:ilvl w:val="0"/>
          <w:numId w:val="2"/>
        </w:numPr>
        <w:spacing w:before="40" w:after="40"/>
      </w:pPr>
      <w:r>
        <w:rPr>
          <w:color w:val="404040"/>
        </w:rPr>
        <w:t>Cross-sectional DCF across all 503 S&amp;P 500 stocks with sector-specific assumptions</w:t>
      </w:r>
    </w:p>
    <w:p w14:paraId="732998AA" w14:textId="77777777" w:rsidR="00B847F1" w:rsidRDefault="00000000">
      <w:pPr>
        <w:pStyle w:val="ListParagraph"/>
        <w:numPr>
          <w:ilvl w:val="0"/>
          <w:numId w:val="2"/>
        </w:numPr>
        <w:spacing w:before="40" w:after="40"/>
      </w:pPr>
      <w:r>
        <w:rPr>
          <w:color w:val="404040"/>
        </w:rPr>
        <w:t>Valuation gap rankings and sector concentration analysis</w:t>
      </w:r>
    </w:p>
    <w:p w14:paraId="732998AB" w14:textId="77777777" w:rsidR="00B847F1" w:rsidRDefault="00000000">
      <w:pPr>
        <w:pStyle w:val="ListParagraph"/>
        <w:numPr>
          <w:ilvl w:val="0"/>
          <w:numId w:val="2"/>
        </w:numPr>
        <w:spacing w:before="40" w:after="40"/>
      </w:pPr>
      <w:r>
        <w:rPr>
          <w:color w:val="404040"/>
        </w:rPr>
        <w:t>Distribution integrity — histogram, median vs average comparison, outlier detection</w:t>
      </w:r>
    </w:p>
    <w:p w14:paraId="732998AC" w14:textId="77777777" w:rsidR="00B847F1" w:rsidRDefault="00000000">
      <w:pPr>
        <w:pStyle w:val="ListParagraph"/>
        <w:numPr>
          <w:ilvl w:val="0"/>
          <w:numId w:val="2"/>
        </w:numPr>
        <w:spacing w:before="40" w:after="40"/>
      </w:pPr>
      <w:r>
        <w:rPr>
          <w:color w:val="404040"/>
        </w:rPr>
        <w:t>Sector dispersion showing whether sector averages are uniform or driven by a handful of names</w:t>
      </w:r>
    </w:p>
    <w:p w14:paraId="732998AD" w14:textId="77777777" w:rsidR="00B847F1" w:rsidRDefault="00000000">
      <w:pPr>
        <w:pStyle w:val="ListParagraph"/>
        <w:numPr>
          <w:ilvl w:val="0"/>
          <w:numId w:val="2"/>
        </w:numPr>
        <w:spacing w:before="40" w:after="40"/>
      </w:pPr>
      <w:r>
        <w:rPr>
          <w:color w:val="404040"/>
        </w:rPr>
        <w:t>Research Engine trend lines tracking average gap and Robust BUY count over time</w:t>
      </w:r>
    </w:p>
    <w:p w14:paraId="732998AE" w14:textId="77777777" w:rsidR="00B847F1" w:rsidRDefault="00B847F1">
      <w:pPr>
        <w:spacing w:before="60" w:after="60"/>
      </w:pPr>
    </w:p>
    <w:p w14:paraId="732998AF" w14:textId="77777777" w:rsidR="00B847F1" w:rsidRDefault="00000000">
      <w:pPr>
        <w:spacing w:before="60" w:after="60"/>
      </w:pPr>
      <w:r>
        <w:rPr>
          <w:color w:val="404040"/>
        </w:rPr>
        <w:t>The most important Valuation Engine insight in the current dataset: the median gap (-19.1%) is 8.1 points more negative than the average (-11.0%). This means extreme undervaluation outliers are pulling the average toward zero. The typical S&amp;P 500 stock is more overvalued than the headline number implies.</w:t>
      </w:r>
    </w:p>
    <w:p w14:paraId="732998B0" w14:textId="77777777" w:rsidR="00B847F1" w:rsidRDefault="00B847F1">
      <w:pPr>
        <w:spacing w:before="60" w:after="60"/>
      </w:pPr>
    </w:p>
    <w:p w14:paraId="732998B1" w14:textId="77777777" w:rsidR="00B847F1" w:rsidRDefault="00000000">
      <w:pPr>
        <w:pStyle w:val="Heading2"/>
      </w:pPr>
      <w:r>
        <w:t>2.3 Stress-Testing Engine — Pages 3, 5, 6</w:t>
      </w:r>
    </w:p>
    <w:p w14:paraId="732998B2" w14:textId="77777777" w:rsidR="00B847F1" w:rsidRDefault="00000000">
      <w:pPr>
        <w:spacing w:before="60" w:after="60"/>
      </w:pPr>
      <w:r>
        <w:rPr>
          <w:color w:val="404040"/>
        </w:rPr>
        <w:t>The Stress-Testing Engine is the model robustness layer. It answers how fragile or durable the valuation outputs are under alternative assumptions.</w:t>
      </w:r>
    </w:p>
    <w:p w14:paraId="732998B3" w14:textId="77777777" w:rsidR="00B847F1" w:rsidRDefault="00B847F1">
      <w:pPr>
        <w:spacing w:before="60" w:after="60"/>
      </w:pPr>
    </w:p>
    <w:p w14:paraId="732998B4" w14:textId="77777777" w:rsidR="00B847F1" w:rsidRDefault="00000000">
      <w:pPr>
        <w:pStyle w:val="ListParagraph"/>
        <w:numPr>
          <w:ilvl w:val="0"/>
          <w:numId w:val="2"/>
        </w:numPr>
        <w:spacing w:before="40" w:after="40"/>
      </w:pPr>
      <w:r>
        <w:rPr>
          <w:color w:val="404040"/>
        </w:rPr>
        <w:t>Three scenario framework — Conservative (5%/10%), Base Case (sector-specific), Aggressive (15%/7%)</w:t>
      </w:r>
    </w:p>
    <w:p w14:paraId="732998B5" w14:textId="77777777" w:rsidR="00B847F1" w:rsidRDefault="00000000">
      <w:pPr>
        <w:pStyle w:val="ListParagraph"/>
        <w:numPr>
          <w:ilvl w:val="0"/>
          <w:numId w:val="2"/>
        </w:numPr>
        <w:spacing w:before="40" w:after="40"/>
      </w:pPr>
      <w:r>
        <w:rPr>
          <w:color w:val="404040"/>
        </w:rPr>
        <w:t>Durability Classification — seven categories from Robust BUY to Insufficient Data</w:t>
      </w:r>
    </w:p>
    <w:p w14:paraId="732998B6" w14:textId="77777777" w:rsidR="00B847F1" w:rsidRDefault="00000000">
      <w:pPr>
        <w:pStyle w:val="ListParagraph"/>
        <w:numPr>
          <w:ilvl w:val="0"/>
          <w:numId w:val="2"/>
        </w:numPr>
        <w:spacing w:before="40" w:after="40"/>
      </w:pPr>
      <w:r>
        <w:rPr>
          <w:color w:val="404040"/>
        </w:rPr>
        <w:t>Sensitivity range by sector — which sectors swing most under assumption changes</w:t>
      </w:r>
    </w:p>
    <w:p w14:paraId="732998B7" w14:textId="77777777" w:rsidR="00B847F1" w:rsidRDefault="00000000">
      <w:pPr>
        <w:pStyle w:val="ListParagraph"/>
        <w:numPr>
          <w:ilvl w:val="0"/>
          <w:numId w:val="2"/>
        </w:numPr>
        <w:spacing w:before="40" w:after="40"/>
      </w:pPr>
      <w:r>
        <w:rPr>
          <w:color w:val="404040"/>
        </w:rPr>
        <w:lastRenderedPageBreak/>
        <w:t>Scenario flip behavior — how many signals survive full stress</w:t>
      </w:r>
    </w:p>
    <w:p w14:paraId="732998B8" w14:textId="77777777" w:rsidR="00B847F1" w:rsidRDefault="00000000">
      <w:pPr>
        <w:pStyle w:val="ListParagraph"/>
        <w:numPr>
          <w:ilvl w:val="0"/>
          <w:numId w:val="2"/>
        </w:numPr>
        <w:spacing w:before="40" w:after="40"/>
      </w:pPr>
      <w:r>
        <w:rPr>
          <w:color w:val="404040"/>
        </w:rPr>
        <w:t>Outlier detection — stocks with gaps above 300% flagged for explicit validation</w:t>
      </w:r>
    </w:p>
    <w:p w14:paraId="732998B9" w14:textId="77777777" w:rsidR="00B847F1" w:rsidRDefault="00000000">
      <w:pPr>
        <w:pStyle w:val="ListParagraph"/>
        <w:numPr>
          <w:ilvl w:val="0"/>
          <w:numId w:val="2"/>
        </w:numPr>
        <w:spacing w:before="40" w:after="40"/>
      </w:pPr>
      <w:r>
        <w:rPr>
          <w:color w:val="404040"/>
        </w:rPr>
        <w:t>Diagnostic table with model risk flags — the most honest risk-adjusted view in the dashboard</w:t>
      </w:r>
    </w:p>
    <w:p w14:paraId="732998BA" w14:textId="77777777" w:rsidR="00B847F1" w:rsidRDefault="00B847F1">
      <w:pPr>
        <w:spacing w:before="60" w:after="60"/>
      </w:pPr>
    </w:p>
    <w:p w14:paraId="732998BB" w14:textId="77777777" w:rsidR="00B847F1" w:rsidRDefault="00000000">
      <w:pPr>
        <w:spacing w:before="60" w:after="60"/>
      </w:pPr>
      <w:r>
        <w:rPr>
          <w:color w:val="404040"/>
        </w:rPr>
        <w:t>The most important Stress-Testing Engine finding: 48.5% of BUY signals collapse under conservative assumptions. This single statistic argues strongly for defaulting to the 57 Robust BUY signals as the primary action list rather than the full 136 BUY universe.</w:t>
      </w:r>
    </w:p>
    <w:p w14:paraId="732998BC" w14:textId="77777777" w:rsidR="00B847F1" w:rsidRDefault="00B847F1">
      <w:pPr>
        <w:spacing w:before="60" w:after="60"/>
      </w:pPr>
    </w:p>
    <w:p w14:paraId="732998BD" w14:textId="77777777" w:rsidR="00B847F1" w:rsidRDefault="00000000">
      <w:pPr>
        <w:pStyle w:val="Heading2"/>
      </w:pPr>
      <w:r>
        <w:t>2.4 Research Engine — Page 5 (trend lines)</w:t>
      </w:r>
    </w:p>
    <w:p w14:paraId="732998BE" w14:textId="77777777" w:rsidR="00B847F1" w:rsidRDefault="00000000">
      <w:pPr>
        <w:spacing w:before="60" w:after="60"/>
      </w:pPr>
      <w:r>
        <w:rPr>
          <w:color w:val="404040"/>
        </w:rPr>
        <w:t>The Research Engine is the longitudinal tracking layer. It answers whether the signal persists and matters beyond a single snapshot.</w:t>
      </w:r>
    </w:p>
    <w:p w14:paraId="732998BF" w14:textId="77777777" w:rsidR="00B847F1" w:rsidRDefault="00B847F1">
      <w:pPr>
        <w:spacing w:before="60" w:after="60"/>
      </w:pPr>
    </w:p>
    <w:p w14:paraId="732998C0" w14:textId="77777777" w:rsidR="00B847F1" w:rsidRDefault="00000000">
      <w:pPr>
        <w:pStyle w:val="ListParagraph"/>
        <w:numPr>
          <w:ilvl w:val="0"/>
          <w:numId w:val="2"/>
        </w:numPr>
        <w:spacing w:before="40" w:after="40"/>
      </w:pPr>
      <w:r>
        <w:rPr>
          <w:color w:val="404040"/>
        </w:rPr>
        <w:t>Weekly snapshot history stored in SQL Server DCFRegime — builds automatically with every Sunday refresh</w:t>
      </w:r>
    </w:p>
    <w:p w14:paraId="732998C1" w14:textId="77777777" w:rsidR="00B847F1" w:rsidRDefault="00000000">
      <w:pPr>
        <w:pStyle w:val="ListParagraph"/>
        <w:numPr>
          <w:ilvl w:val="0"/>
          <w:numId w:val="2"/>
        </w:numPr>
        <w:spacing w:before="40" w:after="40"/>
      </w:pPr>
      <w:r>
        <w:rPr>
          <w:color w:val="404040"/>
        </w:rPr>
        <w:t>Average valuation gap trend line — shows whether market conditions are improving or deteriorating for value investors</w:t>
      </w:r>
    </w:p>
    <w:p w14:paraId="732998C2" w14:textId="77777777" w:rsidR="00B847F1" w:rsidRDefault="00000000">
      <w:pPr>
        <w:pStyle w:val="ListParagraph"/>
        <w:numPr>
          <w:ilvl w:val="0"/>
          <w:numId w:val="2"/>
        </w:numPr>
        <w:spacing w:before="40" w:after="40"/>
      </w:pPr>
      <w:r>
        <w:rPr>
          <w:color w:val="404040"/>
        </w:rPr>
        <w:t>Robust BUY count trend line — tracks whether the conviction opportunity set is expanding or contracting</w:t>
      </w:r>
    </w:p>
    <w:p w14:paraId="732998C3" w14:textId="77777777" w:rsidR="00B847F1" w:rsidRDefault="00B847F1">
      <w:pPr>
        <w:spacing w:before="60" w:after="60"/>
      </w:pPr>
    </w:p>
    <w:p w14:paraId="732998C4" w14:textId="77777777" w:rsidR="00B847F1" w:rsidRDefault="00000000">
      <w:pPr>
        <w:spacing w:before="60" w:after="60"/>
      </w:pPr>
      <w:r>
        <w:rPr>
          <w:color w:val="404040"/>
        </w:rPr>
        <w:t>The Research Engine is currently in early build — data accumulates weekly from April 2026 forward. Future additions include sector valuation heatmaps, signal persistence analysis, and backtest performance comparisons. The SQL Server architecture ensures all historical data is preserved automatically.</w:t>
      </w:r>
    </w:p>
    <w:p w14:paraId="732998C5" w14:textId="77777777" w:rsidR="00B847F1" w:rsidRDefault="00000000">
      <w:r>
        <w:br w:type="page"/>
      </w:r>
    </w:p>
    <w:p w14:paraId="732998C6" w14:textId="77777777" w:rsidR="00B847F1" w:rsidRDefault="00000000">
      <w:pPr>
        <w:pStyle w:val="Heading1"/>
      </w:pPr>
      <w:r>
        <w:lastRenderedPageBreak/>
        <w:t>3. Data &amp; Methodology</w:t>
      </w:r>
    </w:p>
    <w:p w14:paraId="732998C7" w14:textId="77777777" w:rsidR="00B847F1" w:rsidRDefault="00000000">
      <w:pPr>
        <w:pStyle w:val="Heading2"/>
      </w:pPr>
      <w:r>
        <w:t>3.1 Data Infrastructure</w:t>
      </w:r>
    </w:p>
    <w:p w14:paraId="732998C8" w14:textId="77777777" w:rsidR="00B847F1" w:rsidRDefault="00000000">
      <w:pPr>
        <w:spacing w:before="60" w:after="60"/>
      </w:pPr>
      <w:r>
        <w:rPr>
          <w:color w:val="404040"/>
        </w:rPr>
        <w:t>The pipeline uses four data layers working in sequence:</w:t>
      </w:r>
    </w:p>
    <w:p w14:paraId="732998C9"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B847F1" w14:paraId="732998C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CA" w14:textId="77777777" w:rsidR="00B847F1" w:rsidRDefault="00000000">
            <w:r>
              <w:rPr>
                <w:b/>
                <w:bCs/>
                <w:color w:val="FFFFFF"/>
                <w:sz w:val="20"/>
                <w:szCs w:val="20"/>
              </w:rPr>
              <w:t>Layer</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CB" w14:textId="77777777" w:rsidR="00B847F1" w:rsidRDefault="00000000">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CC" w14:textId="77777777" w:rsidR="00B847F1" w:rsidRDefault="00000000">
            <w:r>
              <w:rPr>
                <w:b/>
                <w:bCs/>
                <w:color w:val="FFFFFF"/>
                <w:sz w:val="20"/>
                <w:szCs w:val="20"/>
              </w:rPr>
              <w:t>Purpose</w:t>
            </w:r>
          </w:p>
        </w:tc>
      </w:tr>
      <w:tr w:rsidR="00B847F1" w14:paraId="732998D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CE" w14:textId="77777777" w:rsidR="00B847F1" w:rsidRDefault="00000000">
            <w:r>
              <w:rPr>
                <w:color w:val="404040"/>
                <w:sz w:val="20"/>
                <w:szCs w:val="20"/>
              </w:rPr>
              <w:t>Source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CF" w14:textId="77777777" w:rsidR="00B847F1" w:rsidRDefault="00000000">
            <w:r>
              <w:rPr>
                <w:color w:val="404040"/>
                <w:sz w:val="20"/>
                <w:szCs w:val="20"/>
              </w:rPr>
              <w:t>RapidAPI Yahoo Finance 166 + Wikipedia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D0" w14:textId="77777777" w:rsidR="00B847F1" w:rsidRDefault="00000000">
            <w:r>
              <w:rPr>
                <w:color w:val="404040"/>
                <w:sz w:val="20"/>
                <w:szCs w:val="20"/>
              </w:rPr>
              <w:t>Fundamentals for 503 stocks + ticker/sector list</w:t>
            </w:r>
          </w:p>
        </w:tc>
      </w:tr>
      <w:tr w:rsidR="00B847F1" w14:paraId="732998D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2" w14:textId="77777777" w:rsidR="00B847F1" w:rsidRDefault="00000000">
            <w:r>
              <w:rPr>
                <w:color w:val="404040"/>
                <w:sz w:val="20"/>
                <w:szCs w:val="20"/>
              </w:rPr>
              <w:t>Raw Storage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3" w14:textId="77777777" w:rsidR="00B847F1" w:rsidRDefault="00000000">
            <w:r>
              <w:rPr>
                <w:color w:val="404040"/>
                <w:sz w:val="20"/>
                <w:szCs w:val="20"/>
              </w:rPr>
              <w:t>SQLite (sp500_prices.db)</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4" w14:textId="77777777" w:rsidR="00B847F1" w:rsidRDefault="00000000">
            <w:r>
              <w:rPr>
                <w:color w:val="404040"/>
                <w:sz w:val="20"/>
                <w:szCs w:val="20"/>
              </w:rPr>
              <w:t>Fundamental snapshots with fetch date — resume support</w:t>
            </w:r>
          </w:p>
        </w:tc>
      </w:tr>
      <w:tr w:rsidR="00B847F1" w14:paraId="732998D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D6" w14:textId="77777777" w:rsidR="00B847F1" w:rsidRDefault="00000000">
            <w:r>
              <w:rPr>
                <w:color w:val="404040"/>
                <w:sz w:val="20"/>
                <w:szCs w:val="20"/>
              </w:rPr>
              <w:t>Processed Storage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D7" w14:textId="77777777" w:rsidR="00B847F1" w:rsidRDefault="00000000">
            <w:r>
              <w:rPr>
                <w:color w:val="404040"/>
                <w:sz w:val="20"/>
                <w:szCs w:val="20"/>
              </w:rPr>
              <w:t>SQL Server DCFRegime (dbo.dcf_results)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D8" w14:textId="77777777" w:rsidR="00B847F1" w:rsidRDefault="00000000">
            <w:r>
              <w:rPr>
                <w:color w:val="404040"/>
                <w:sz w:val="20"/>
                <w:szCs w:val="20"/>
              </w:rPr>
              <w:t>Full DCF results with Data_Date — powers trend lines</w:t>
            </w:r>
          </w:p>
        </w:tc>
      </w:tr>
      <w:tr w:rsidR="00B847F1" w14:paraId="732998D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A" w14:textId="77777777" w:rsidR="00B847F1" w:rsidRDefault="00000000">
            <w:r>
              <w:rPr>
                <w:color w:val="404040"/>
                <w:sz w:val="20"/>
                <w:szCs w:val="20"/>
              </w:rPr>
              <w:t>Presentation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B" w14:textId="77777777" w:rsidR="00B847F1" w:rsidRDefault="00000000">
            <w:r>
              <w:rPr>
                <w:color w:val="404040"/>
                <w:sz w:val="20"/>
                <w:szCs w:val="20"/>
              </w:rPr>
              <w:t>Power BI Desktop + Service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DC" w14:textId="77777777" w:rsidR="00B847F1" w:rsidRDefault="00000000">
            <w:r>
              <w:rPr>
                <w:color w:val="404040"/>
                <w:sz w:val="20"/>
                <w:szCs w:val="20"/>
              </w:rPr>
              <w:t>6-page interactive dashboard with Personal Gateway</w:t>
            </w:r>
          </w:p>
        </w:tc>
      </w:tr>
    </w:tbl>
    <w:p w14:paraId="732998DE" w14:textId="77777777" w:rsidR="00B847F1" w:rsidRDefault="00B847F1">
      <w:pPr>
        <w:spacing w:before="60" w:after="60"/>
      </w:pPr>
    </w:p>
    <w:p w14:paraId="732998DF" w14:textId="77777777" w:rsidR="00B847F1" w:rsidRDefault="00000000">
      <w:pPr>
        <w:spacing w:before="60" w:after="60"/>
      </w:pPr>
      <w:r>
        <w:rPr>
          <w:color w:val="404040"/>
        </w:rPr>
        <w:t>The move to SQL Server for DCF results (April 2026) aligns this dashboard with the Macro Regime and Sentiment Dashboard architecture. Every weekly run inserts 503 new rows with the current Data_Date, automatically building the historical dataset needed for the Research Engine.</w:t>
      </w:r>
    </w:p>
    <w:p w14:paraId="732998E0" w14:textId="77777777" w:rsidR="00B847F1" w:rsidRDefault="00B847F1">
      <w:pPr>
        <w:spacing w:before="60" w:after="60"/>
      </w:pPr>
    </w:p>
    <w:p w14:paraId="732998E1" w14:textId="77777777" w:rsidR="00B847F1" w:rsidRDefault="00000000">
      <w:pPr>
        <w:pStyle w:val="Heading2"/>
      </w:pPr>
      <w:r>
        <w:t>3.2 DCF Methodology</w:t>
      </w:r>
    </w:p>
    <w:p w14:paraId="732998E2" w14:textId="77777777" w:rsidR="00B847F1" w:rsidRDefault="00000000">
      <w:pPr>
        <w:spacing w:before="60" w:after="60"/>
      </w:pPr>
      <w:r>
        <w:rPr>
          <w:color w:val="404040"/>
        </w:rPr>
        <w:t>Unchanged from v2 — sector-specific growth rates and discount rates, 5-year projection period, 2.5% terminal growth. See Section 4 of v2 for full formula reference.</w:t>
      </w:r>
    </w:p>
    <w:p w14:paraId="732998E3" w14:textId="77777777" w:rsidR="00B847F1" w:rsidRDefault="00B847F1">
      <w:pPr>
        <w:spacing w:before="60" w:after="60"/>
      </w:pPr>
    </w:p>
    <w:p w14:paraId="732998E4" w14:textId="77777777" w:rsidR="00B847F1" w:rsidRDefault="00000000">
      <w:pPr>
        <w:pStyle w:val="Heading2"/>
      </w:pPr>
      <w:r>
        <w:t>3.3 Durability Classification Logic</w:t>
      </w:r>
    </w:p>
    <w:p w14:paraId="732998E5" w14:textId="77777777" w:rsidR="00B847F1" w:rsidRDefault="00000000">
      <w:pPr>
        <w:spacing w:before="60" w:after="60"/>
      </w:pPr>
      <w:r>
        <w:rPr>
          <w:color w:val="404040"/>
        </w:rPr>
        <w:t>Added in v3 — each stock is classified into one of seven durability categories based on how its signal holds up under scenario stress:</w:t>
      </w:r>
    </w:p>
    <w:p w14:paraId="732998E6"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440"/>
        <w:gridCol w:w="5400"/>
      </w:tblGrid>
      <w:tr w:rsidR="00B847F1" w14:paraId="732998E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E7" w14:textId="77777777" w:rsidR="00B847F1" w:rsidRDefault="00000000">
            <w:r>
              <w:rPr>
                <w:b/>
                <w:bCs/>
                <w:color w:val="FFFFFF"/>
                <w:sz w:val="20"/>
                <w:szCs w:val="20"/>
              </w:rPr>
              <w:t>Classification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E8" w14:textId="77777777" w:rsidR="00B847F1" w:rsidRDefault="00000000">
            <w:r>
              <w:rPr>
                <w:b/>
                <w:bCs/>
                <w:color w:val="FFFFFF"/>
                <w:sz w:val="20"/>
                <w:szCs w:val="20"/>
              </w:rPr>
              <w:t>Count</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8E9" w14:textId="77777777" w:rsidR="00B847F1" w:rsidRDefault="00000000">
            <w:r>
              <w:rPr>
                <w:b/>
                <w:bCs/>
                <w:color w:val="FFFFFF"/>
                <w:sz w:val="20"/>
                <w:szCs w:val="20"/>
              </w:rPr>
              <w:t>Definition</w:t>
            </w:r>
          </w:p>
        </w:tc>
      </w:tr>
      <w:tr w:rsidR="00B847F1" w14:paraId="732998E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EB" w14:textId="77777777" w:rsidR="00B847F1" w:rsidRDefault="00000000">
            <w:r>
              <w:rPr>
                <w:b/>
                <w:bCs/>
                <w:color w:val="404040"/>
                <w:sz w:val="20"/>
                <w:szCs w:val="20"/>
              </w:rPr>
              <w:t>Robust BUY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EC" w14:textId="77777777" w:rsidR="00B847F1" w:rsidRDefault="00000000">
            <w:r>
              <w:rPr>
                <w:color w:val="404040"/>
                <w:sz w:val="20"/>
                <w:szCs w:val="20"/>
              </w:rPr>
              <w:t>57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ED" w14:textId="77777777" w:rsidR="00B847F1" w:rsidRDefault="00000000">
            <w:r>
              <w:rPr>
                <w:color w:val="404040"/>
                <w:sz w:val="20"/>
                <w:szCs w:val="20"/>
              </w:rPr>
              <w:t>BUY in both Conservative and Base Case. Undervalued even under bear-case assumptions. Highest conviction, widest margin of safety.</w:t>
            </w:r>
          </w:p>
        </w:tc>
      </w:tr>
      <w:tr w:rsidR="00B847F1" w14:paraId="732998F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EF" w14:textId="77777777" w:rsidR="00B847F1" w:rsidRDefault="00000000">
            <w:r>
              <w:rPr>
                <w:b/>
                <w:bCs/>
                <w:color w:val="404040"/>
                <w:sz w:val="20"/>
                <w:szCs w:val="20"/>
              </w:rPr>
              <w:t>Base-Only BUY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0" w14:textId="77777777" w:rsidR="00B847F1" w:rsidRDefault="00000000">
            <w:r>
              <w:rPr>
                <w:color w:val="404040"/>
                <w:sz w:val="20"/>
                <w:szCs w:val="20"/>
              </w:rPr>
              <w:t>13</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1" w14:textId="77777777" w:rsidR="00B847F1" w:rsidRDefault="00000000">
            <w:r>
              <w:rPr>
                <w:color w:val="404040"/>
                <w:sz w:val="20"/>
                <w:szCs w:val="20"/>
              </w:rPr>
              <w:t>BUY in Base Case, positive but below 10% in Conservative. Moderate conviction — assumptions need to hold.</w:t>
            </w:r>
          </w:p>
        </w:tc>
      </w:tr>
      <w:tr w:rsidR="00B847F1" w14:paraId="732998F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3" w14:textId="77777777" w:rsidR="00B847F1" w:rsidRDefault="00000000">
            <w:r>
              <w:rPr>
                <w:b/>
                <w:bCs/>
                <w:color w:val="404040"/>
                <w:sz w:val="20"/>
                <w:szCs w:val="20"/>
              </w:rPr>
              <w:t>Fragile BUY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4" w14:textId="77777777" w:rsidR="00B847F1" w:rsidRDefault="00000000">
            <w:r>
              <w:rPr>
                <w:color w:val="404040"/>
                <w:sz w:val="20"/>
                <w:szCs w:val="20"/>
              </w:rPr>
              <w:t>66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5" w14:textId="77777777" w:rsidR="00B847F1" w:rsidRDefault="00000000">
            <w:r>
              <w:rPr>
                <w:color w:val="404040"/>
                <w:sz w:val="20"/>
                <w:szCs w:val="20"/>
              </w:rPr>
              <w:t>BUY in Base Case but negative in Conservative. Signal collapses under stress. Approach with significant caution.</w:t>
            </w:r>
          </w:p>
        </w:tc>
      </w:tr>
      <w:tr w:rsidR="00B847F1" w14:paraId="732998F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7" w14:textId="77777777" w:rsidR="00B847F1" w:rsidRDefault="00000000">
            <w:r>
              <w:rPr>
                <w:b/>
                <w:bCs/>
                <w:color w:val="404040"/>
                <w:sz w:val="20"/>
                <w:szCs w:val="20"/>
              </w:rPr>
              <w:t>Robust SELL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8" w14:textId="77777777" w:rsidR="00B847F1" w:rsidRDefault="00000000">
            <w:r>
              <w:rPr>
                <w:color w:val="404040"/>
                <w:sz w:val="20"/>
                <w:szCs w:val="20"/>
              </w:rPr>
              <w:t>239</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9" w14:textId="77777777" w:rsidR="00B847F1" w:rsidRDefault="00000000">
            <w:r>
              <w:rPr>
                <w:color w:val="404040"/>
                <w:sz w:val="20"/>
                <w:szCs w:val="20"/>
              </w:rPr>
              <w:t>SELL in both Conservative and Base Case. Overvalued even under optimistic assumptions.</w:t>
            </w:r>
          </w:p>
        </w:tc>
      </w:tr>
      <w:tr w:rsidR="00B847F1" w14:paraId="732998F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B" w14:textId="77777777" w:rsidR="00B847F1" w:rsidRDefault="00000000">
            <w:r>
              <w:rPr>
                <w:b/>
                <w:bCs/>
                <w:color w:val="404040"/>
                <w:sz w:val="20"/>
                <w:szCs w:val="20"/>
              </w:rPr>
              <w:lastRenderedPageBreak/>
              <w:t>Base-Only SELL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C" w14:textId="77777777" w:rsidR="00B847F1" w:rsidRDefault="00000000">
            <w:r>
              <w:rPr>
                <w:color w:val="404040"/>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8FD" w14:textId="77777777" w:rsidR="00B847F1" w:rsidRDefault="00000000">
            <w:r>
              <w:rPr>
                <w:color w:val="404040"/>
                <w:sz w:val="20"/>
                <w:szCs w:val="20"/>
              </w:rPr>
              <w:t>SELL in Base Case but less negative in Conservative. Moderately overvalued.</w:t>
            </w:r>
          </w:p>
        </w:tc>
      </w:tr>
      <w:tr w:rsidR="00B847F1" w14:paraId="7329990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8FF" w14:textId="77777777" w:rsidR="00B847F1" w:rsidRDefault="00000000">
            <w:r>
              <w:rPr>
                <w:b/>
                <w:bCs/>
                <w:color w:val="404040"/>
                <w:sz w:val="20"/>
                <w:szCs w:val="20"/>
              </w:rPr>
              <w:t>Neutral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00" w14:textId="77777777" w:rsidR="00B847F1" w:rsidRDefault="00000000">
            <w:r>
              <w:rPr>
                <w:color w:val="404040"/>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01" w14:textId="77777777" w:rsidR="00B847F1" w:rsidRDefault="00000000">
            <w:r>
              <w:rPr>
                <w:color w:val="404040"/>
                <w:sz w:val="20"/>
                <w:szCs w:val="20"/>
              </w:rPr>
              <w:t>Falls between BUY and SELL thresholds in both scenarios.</w:t>
            </w:r>
          </w:p>
        </w:tc>
      </w:tr>
      <w:tr w:rsidR="00B847F1" w14:paraId="7329990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03" w14:textId="77777777" w:rsidR="00B847F1" w:rsidRDefault="00000000">
            <w:r>
              <w:rPr>
                <w:b/>
                <w:bCs/>
                <w:color w:val="404040"/>
                <w:sz w:val="20"/>
                <w:szCs w:val="20"/>
              </w:rPr>
              <w:t>Insufficient Data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04" w14:textId="77777777" w:rsidR="00B847F1" w:rsidRDefault="00000000">
            <w:r>
              <w:rPr>
                <w:color w:val="404040"/>
                <w:sz w:val="20"/>
                <w:szCs w:val="20"/>
              </w:rPr>
              <w:t>77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05" w14:textId="77777777" w:rsidR="00B847F1" w:rsidRDefault="00000000">
            <w:r>
              <w:rPr>
                <w:color w:val="404040"/>
                <w:sz w:val="20"/>
                <w:szCs w:val="20"/>
              </w:rPr>
              <w:t>FCF missing or negative. DCF cannot be calculated. Requires alternative methodology.</w:t>
            </w:r>
          </w:p>
        </w:tc>
      </w:tr>
    </w:tbl>
    <w:p w14:paraId="73299907"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7F1" w14:paraId="732999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73299908" w14:textId="77777777" w:rsidR="00B847F1" w:rsidRDefault="00000000">
            <w:pPr>
              <w:spacing w:after="60"/>
            </w:pPr>
            <w:r>
              <w:rPr>
                <w:b/>
                <w:bCs/>
                <w:color w:val="A86900"/>
              </w:rPr>
              <w:t>Key ratio</w:t>
            </w:r>
          </w:p>
          <w:p w14:paraId="73299909" w14:textId="77777777" w:rsidR="00B847F1" w:rsidRDefault="00000000">
            <w:r>
              <w:rPr>
                <w:color w:val="404040"/>
              </w:rPr>
              <w:t>48.5% of all BUY signals (66 of 136) are Fragile BUY — they flip negative under conservative assumptions. This means acting on any BUY signal without checking its durability classification carries significant hidden risk. Always check Page 5 before acting on a BUY from Pages 1 or 2.</w:t>
            </w:r>
          </w:p>
        </w:tc>
      </w:tr>
    </w:tbl>
    <w:p w14:paraId="7329990B" w14:textId="77777777" w:rsidR="00B847F1" w:rsidRDefault="00B847F1">
      <w:pPr>
        <w:spacing w:before="60" w:after="60"/>
      </w:pPr>
    </w:p>
    <w:p w14:paraId="7329990C" w14:textId="77777777" w:rsidR="00B847F1" w:rsidRDefault="00000000">
      <w:pPr>
        <w:pStyle w:val="Heading2"/>
      </w:pPr>
      <w:r>
        <w:t>3.4 Outlier Flag Logic</w:t>
      </w:r>
    </w:p>
    <w:p w14:paraId="7329990D" w14:textId="77777777" w:rsidR="00B847F1" w:rsidRDefault="00000000">
      <w:pPr>
        <w:spacing w:before="60" w:after="60"/>
      </w:pPr>
      <w:r>
        <w:rPr>
          <w:color w:val="404040"/>
        </w:rPr>
        <w:t>Stocks with ABS(Valuation_Gap_Pct) &gt; 3.0 (300%) are flagged as outliers. There are currently 17 outlier stocks in the universe. These stocks are not excluded from the dashboard — they appear in all visuals — but the flag enables explicit filtering and validation. An outlier Robust BUY like PSKY requires qualitative validation before acting, regardless of the mathematical gap.</w:t>
      </w:r>
    </w:p>
    <w:p w14:paraId="7329990E" w14:textId="77777777" w:rsidR="00B847F1" w:rsidRDefault="00B847F1">
      <w:pPr>
        <w:spacing w:before="60" w:after="60"/>
      </w:pPr>
    </w:p>
    <w:p w14:paraId="7329990F" w14:textId="77777777" w:rsidR="00B847F1" w:rsidRDefault="00000000">
      <w:pPr>
        <w:pStyle w:val="Heading2"/>
      </w:pPr>
      <w:r>
        <w:t>3.5 Financials Methodology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7F1" w14:paraId="732999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73299910" w14:textId="77777777" w:rsidR="00B847F1" w:rsidRDefault="00000000">
            <w:pPr>
              <w:spacing w:after="60"/>
            </w:pPr>
            <w:r>
              <w:rPr>
                <w:b/>
                <w:bCs/>
                <w:color w:val="A86900"/>
              </w:rPr>
              <w:t>Phase 2 — Financials</w:t>
            </w:r>
          </w:p>
          <w:p w14:paraId="73299911" w14:textId="77777777" w:rsidR="00B847F1" w:rsidRDefault="00000000">
            <w:r>
              <w:rPr>
                <w:color w:val="404040"/>
              </w:rPr>
              <w:t>Standard DCF methodology does not apply to banks and financial companies. The current pipeline uses Net Income as a cash flow proxy for Financials sector stocks, tagged with DCF_Method = 'Net Income (Financial)'. This is operationally reasonable for screening but analytically imperfect.  Phase 2 will replace this with a dedicated Financials methodology page using P/B ratio screening, ROE vs Cost of Equity excess return analysis, and Earnings Power Value for investment banks and insurance companies. This will remove Financials from the main DCF universe and give them a sector-appropriate signal.</w:t>
            </w:r>
          </w:p>
        </w:tc>
      </w:tr>
    </w:tbl>
    <w:p w14:paraId="73299913" w14:textId="77777777" w:rsidR="00B847F1" w:rsidRDefault="00000000">
      <w:r>
        <w:br w:type="page"/>
      </w:r>
    </w:p>
    <w:p w14:paraId="73299914" w14:textId="77777777" w:rsidR="00B847F1" w:rsidRDefault="00000000">
      <w:pPr>
        <w:pStyle w:val="Heading1"/>
      </w:pPr>
      <w:r>
        <w:lastRenderedPageBreak/>
        <w:t>4. Key Discoveries from the Analysis</w:t>
      </w:r>
    </w:p>
    <w:p w14:paraId="73299915" w14:textId="77777777" w:rsidR="00B847F1" w:rsidRDefault="00000000">
      <w:pPr>
        <w:spacing w:before="60" w:after="60"/>
      </w:pPr>
      <w:r>
        <w:rPr>
          <w:color w:val="404040"/>
        </w:rPr>
        <w:t>The following findings emerged from examining the full 503-stock dataset across all six dashboard pages. These are genuine analytical observations from the April 2026 data snapshot.</w:t>
      </w:r>
    </w:p>
    <w:p w14:paraId="73299916"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847F1" w14:paraId="732999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917" w14:textId="77777777" w:rsidR="00B847F1" w:rsidRDefault="00000000">
            <w:r>
              <w:rPr>
                <w:b/>
                <w:bCs/>
                <w:color w:val="FFFFFF"/>
                <w:sz w:val="20"/>
                <w:szCs w:val="20"/>
              </w:rPr>
              <w:t>Finding</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918" w14:textId="77777777" w:rsidR="00B847F1" w:rsidRDefault="00000000">
            <w:r>
              <w:rPr>
                <w:b/>
                <w:bCs/>
                <w:color w:val="FFFFFF"/>
                <w:sz w:val="20"/>
                <w:szCs w:val="20"/>
              </w:rPr>
              <w:t>Detail</w:t>
            </w:r>
          </w:p>
        </w:tc>
      </w:tr>
      <w:tr w:rsidR="00B847F1" w14:paraId="732999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91A" w14:textId="77777777" w:rsidR="00B847F1" w:rsidRDefault="00000000">
            <w:r>
              <w:rPr>
                <w:b/>
                <w:bCs/>
                <w:color w:val="1F3864"/>
                <w:sz w:val="20"/>
                <w:szCs w:val="20"/>
              </w:rPr>
              <w:t>The market is more expensive than it appears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1B" w14:textId="77777777" w:rsidR="00B847F1" w:rsidRDefault="00000000">
            <w:r>
              <w:rPr>
                <w:color w:val="404040"/>
                <w:sz w:val="20"/>
                <w:szCs w:val="20"/>
              </w:rPr>
              <w:t>Average gap -11.0%, median -19.1%. The 8.1 point gap between them reveals extreme undervaluation outliers pulling the average toward zero. The typical S&amp;P 500 stock is more overvalued than the headline implies. Avg excl. outliers: -14.4%.</w:t>
            </w:r>
          </w:p>
        </w:tc>
      </w:tr>
      <w:tr w:rsidR="00B847F1" w14:paraId="732999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1D" w14:textId="77777777" w:rsidR="00B847F1" w:rsidRDefault="00000000">
            <w:r>
              <w:rPr>
                <w:b/>
                <w:bCs/>
                <w:color w:val="1F3864"/>
                <w:sz w:val="20"/>
                <w:szCs w:val="20"/>
              </w:rPr>
              <w:t>Communication Services leads by a wide margin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1E" w14:textId="77777777" w:rsidR="00B847F1" w:rsidRDefault="00000000">
            <w:r>
              <w:rPr>
                <w:color w:val="404040"/>
                <w:sz w:val="20"/>
                <w:szCs w:val="20"/>
              </w:rPr>
              <w:t>At +190.5% average gap, Communication Services is the standout sector — more than double second-place Health Care at +33.2%. PSKY, WBD, and OMC represent deepest value. NFLX is the standout quality + value combination.</w:t>
            </w:r>
          </w:p>
        </w:tc>
      </w:tr>
      <w:tr w:rsidR="00B847F1" w14:paraId="732999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920" w14:textId="77777777" w:rsidR="00B847F1" w:rsidRDefault="00000000">
            <w:r>
              <w:rPr>
                <w:b/>
                <w:bCs/>
                <w:color w:val="1F3864"/>
                <w:sz w:val="20"/>
                <w:szCs w:val="20"/>
              </w:rPr>
              <w:t>Paramount (PSKY) — extreme deep value case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21" w14:textId="77777777" w:rsidR="00B847F1" w:rsidRDefault="00000000">
            <w:r>
              <w:rPr>
                <w:color w:val="404040"/>
                <w:sz w:val="20"/>
                <w:szCs w:val="20"/>
              </w:rPr>
              <w:t>At $9.17 with intrinsic value of $308.40, PSKY shows the widest valuation gap in the S&amp;P 500 universe. FCF generation at this price makes it a compelling deep value case. Flagged as outlier — requires qualitative validation before acting.</w:t>
            </w:r>
          </w:p>
        </w:tc>
      </w:tr>
      <w:tr w:rsidR="00B847F1" w14:paraId="732999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23" w14:textId="77777777" w:rsidR="00B847F1" w:rsidRDefault="00000000">
            <w:r>
              <w:rPr>
                <w:b/>
                <w:bCs/>
                <w:color w:val="1F3864"/>
                <w:sz w:val="20"/>
                <w:szCs w:val="20"/>
              </w:rPr>
              <w:t>48.5% of BUY signals fail the stress test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24" w14:textId="77777777" w:rsidR="00B847F1" w:rsidRDefault="00000000">
            <w:r>
              <w:rPr>
                <w:color w:val="404040"/>
                <w:sz w:val="20"/>
                <w:szCs w:val="20"/>
              </w:rPr>
              <w:t>Nearly half of all BUY signals flip negative under conservative assumptions. Only 57 of 136 BUY signals qualify as Robust BUY. This argues strongly for defaulting to Robust BUY signals as the primary action list.</w:t>
            </w:r>
          </w:p>
        </w:tc>
      </w:tr>
      <w:tr w:rsidR="00B847F1" w14:paraId="732999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926" w14:textId="77777777" w:rsidR="00B847F1" w:rsidRDefault="00000000">
            <w:r>
              <w:rPr>
                <w:b/>
                <w:bCs/>
                <w:color w:val="1F3864"/>
                <w:sz w:val="20"/>
                <w:szCs w:val="20"/>
              </w:rPr>
              <w:t>Technology is priced for perfection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27" w14:textId="77777777" w:rsidR="00B847F1" w:rsidRDefault="00000000">
            <w:r>
              <w:rPr>
                <w:color w:val="404040"/>
                <w:sz w:val="20"/>
                <w:szCs w:val="20"/>
              </w:rPr>
              <w:t>Information Technology sits at -6.6% average gap. NVDA, TSLA, MSFT, AMZN all show Robust SELL classification — overvalued in every scenario. The sector requires bull-case assumptions just to justify current prices.</w:t>
            </w:r>
          </w:p>
        </w:tc>
      </w:tr>
      <w:tr w:rsidR="00B847F1" w14:paraId="732999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29" w14:textId="77777777" w:rsidR="00B847F1" w:rsidRDefault="00000000">
            <w:r>
              <w:rPr>
                <w:b/>
                <w:bCs/>
                <w:color w:val="1F3864"/>
                <w:sz w:val="20"/>
                <w:szCs w:val="20"/>
              </w:rPr>
              <w:t>239 Robust SELLs across the S&amp;P 500</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2A" w14:textId="77777777" w:rsidR="00B847F1" w:rsidRDefault="00000000">
            <w:r>
              <w:rPr>
                <w:color w:val="404040"/>
                <w:sz w:val="20"/>
                <w:szCs w:val="20"/>
              </w:rPr>
              <w:t>Nearly half the index is overvalued under both conservative and base case assumptions. At current prices, broad index exposure offers limited margin of safety. Selectivity is essential.</w:t>
            </w:r>
          </w:p>
        </w:tc>
      </w:tr>
      <w:tr w:rsidR="00B847F1" w14:paraId="732999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9992C" w14:textId="77777777" w:rsidR="00B847F1" w:rsidRDefault="00000000">
            <w:r>
              <w:rPr>
                <w:b/>
                <w:bCs/>
                <w:color w:val="1F3864"/>
                <w:sz w:val="20"/>
                <w:szCs w:val="20"/>
              </w:rPr>
              <w:t>Financials methodology note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2D" w14:textId="77777777" w:rsidR="00B847F1" w:rsidRDefault="00000000">
            <w:r>
              <w:rPr>
                <w:color w:val="404040"/>
                <w:sz w:val="20"/>
                <w:szCs w:val="20"/>
              </w:rPr>
              <w:t>Financials results use Net Income as a cash flow proxy. Sector average gap shows inconsistency due to data limitations. A dedicated P/B and ROE-based methodology is planned for Phase 2.</w:t>
            </w:r>
          </w:p>
        </w:tc>
      </w:tr>
    </w:tbl>
    <w:p w14:paraId="7329992F" w14:textId="77777777" w:rsidR="00B847F1" w:rsidRDefault="00B847F1">
      <w:pPr>
        <w:spacing w:before="60" w:after="60"/>
      </w:pPr>
    </w:p>
    <w:p w14:paraId="73299930" w14:textId="77777777" w:rsidR="00B847F1" w:rsidRDefault="00000000">
      <w:pPr>
        <w:pStyle w:val="Heading2"/>
      </w:pPr>
      <w:r>
        <w:t>4.1 The Median vs Average Insight</w:t>
      </w:r>
    </w:p>
    <w:p w14:paraId="73299931" w14:textId="77777777" w:rsidR="00B847F1" w:rsidRDefault="00000000">
      <w:pPr>
        <w:spacing w:before="60" w:after="60"/>
      </w:pPr>
      <w:r>
        <w:rPr>
          <w:color w:val="404040"/>
        </w:rPr>
        <w:t>The most important single number on Page 4 is not the average (-11.0%) but the gap between average and median (-19.1%). This 8.1 point spread is the statistical fingerprint of a right-tail outlier problem. Extreme undervaluation names like PSKY, DD, and WBD are pulling the average toward zero, creating the impression that the market is close to fair value when in reality the typical stock is significantly overvalued.</w:t>
      </w:r>
    </w:p>
    <w:p w14:paraId="73299932" w14:textId="77777777" w:rsidR="00B847F1" w:rsidRDefault="00B847F1">
      <w:pPr>
        <w:spacing w:before="60" w:after="60"/>
      </w:pPr>
    </w:p>
    <w:p w14:paraId="73299933" w14:textId="77777777" w:rsidR="00B847F1" w:rsidRDefault="00000000">
      <w:pPr>
        <w:spacing w:before="60" w:after="60"/>
      </w:pPr>
      <w:r>
        <w:rPr>
          <w:color w:val="404040"/>
        </w:rPr>
        <w:t>Excluding the 17 outlier stocks, the average gap drops further to -14.4% — still more negative than the headline average, confirming that the distortion is concentrated in a small number of extreme names rather than spread broadly.</w:t>
      </w:r>
    </w:p>
    <w:p w14:paraId="73299934" w14:textId="77777777" w:rsidR="00B847F1" w:rsidRDefault="00B847F1">
      <w:pPr>
        <w:spacing w:before="60" w:after="60"/>
      </w:pPr>
    </w:p>
    <w:p w14:paraId="73299935" w14:textId="77777777" w:rsidR="00B847F1" w:rsidRDefault="00000000">
      <w:pPr>
        <w:pStyle w:val="Heading2"/>
      </w:pPr>
      <w:r>
        <w:t>4.2 The 48.5% Fragility Finding</w:t>
      </w:r>
    </w:p>
    <w:p w14:paraId="73299936" w14:textId="77777777" w:rsidR="00B847F1" w:rsidRDefault="00000000">
      <w:pPr>
        <w:spacing w:before="60" w:after="60"/>
      </w:pPr>
      <w:r>
        <w:rPr>
          <w:color w:val="404040"/>
        </w:rPr>
        <w:t>The stress-testing finding that 48.5% of BUY signals fail under conservative assumptions is the most practically important discovery in the dashboard. It means that roughly half of the stocks that look attractive in the base case would flip to overvalued in a slowdown environment where growth is revised downward and risk premiums rise.</w:t>
      </w:r>
    </w:p>
    <w:p w14:paraId="73299937" w14:textId="77777777" w:rsidR="00B847F1" w:rsidRDefault="00B847F1">
      <w:pPr>
        <w:spacing w:before="60" w:after="60"/>
      </w:pPr>
    </w:p>
    <w:p w14:paraId="73299939" w14:textId="1D09FBE5" w:rsidR="00B847F1" w:rsidRDefault="00000000" w:rsidP="005049CC">
      <w:pPr>
        <w:spacing w:before="60" w:after="60"/>
      </w:pPr>
      <w:r>
        <w:rPr>
          <w:color w:val="404040"/>
        </w:rPr>
        <w:t>The breakdown is striking: 57 Robust BUY, 13 Base-Only BUY, 66 Fragile BUY. The bifurcation between Robust (57) and Fragile (66) with almost no middle ground (13 Base-Only) suggests the market has a thin layer of genuinely cheap stocks surrounded by a much larger layer of conditionally cheap stocks that depend on assumptions holding.</w:t>
      </w:r>
    </w:p>
    <w:p w14:paraId="7329993A" w14:textId="77777777" w:rsidR="00B847F1" w:rsidRDefault="00000000">
      <w:pPr>
        <w:pStyle w:val="Heading1"/>
      </w:pPr>
      <w:r>
        <w:t>5. Dashboard Page Reference — v3</w:t>
      </w:r>
    </w:p>
    <w:p w14:paraId="7329993B" w14:textId="77777777" w:rsidR="00B847F1" w:rsidRDefault="00000000">
      <w:pPr>
        <w:pStyle w:val="Heading2"/>
      </w:pPr>
      <w:r>
        <w:t>Page 4 — Valuation &amp; Research Engine</w:t>
      </w:r>
    </w:p>
    <w:p w14:paraId="7329993C" w14:textId="77777777" w:rsidR="00B847F1" w:rsidRDefault="00000000">
      <w:pPr>
        <w:spacing w:before="60" w:after="60"/>
      </w:pPr>
      <w:r>
        <w:rPr>
          <w:color w:val="404040"/>
        </w:rPr>
        <w:t>Distribution integrity and historical tracking. Six KPI cards: Valid DCF Coverage, Average Gap, Median Gap, Avg Gap excl. outliers, Outlier Count, BUY Signal Count.</w:t>
      </w:r>
    </w:p>
    <w:p w14:paraId="7329993D" w14:textId="77777777" w:rsidR="00B847F1" w:rsidRDefault="00B847F1">
      <w:pPr>
        <w:spacing w:before="60" w:after="60"/>
      </w:pPr>
    </w:p>
    <w:p w14:paraId="7329993E" w14:textId="77777777" w:rsidR="00B847F1" w:rsidRDefault="00000000">
      <w:pPr>
        <w:pStyle w:val="ListParagraph"/>
        <w:numPr>
          <w:ilvl w:val="0"/>
          <w:numId w:val="2"/>
        </w:numPr>
        <w:spacing w:before="40" w:after="40"/>
      </w:pPr>
      <w:r>
        <w:rPr>
          <w:color w:val="404040"/>
        </w:rPr>
        <w:t>Valuation gap histogram — 9 buckets from Below -200% to Above 300%</w:t>
      </w:r>
    </w:p>
    <w:p w14:paraId="7329993F" w14:textId="77777777" w:rsidR="00B847F1" w:rsidRDefault="00000000">
      <w:pPr>
        <w:pStyle w:val="ListParagraph"/>
        <w:numPr>
          <w:ilvl w:val="0"/>
          <w:numId w:val="2"/>
        </w:numPr>
        <w:spacing w:before="40" w:after="40"/>
      </w:pPr>
      <w:r>
        <w:rPr>
          <w:color w:val="404040"/>
        </w:rPr>
        <w:t>Average vs Median insight box — explains the 8.1 point distortion gap</w:t>
      </w:r>
    </w:p>
    <w:p w14:paraId="73299940" w14:textId="77777777" w:rsidR="00B847F1" w:rsidRDefault="00000000">
      <w:pPr>
        <w:pStyle w:val="ListParagraph"/>
        <w:numPr>
          <w:ilvl w:val="0"/>
          <w:numId w:val="2"/>
        </w:numPr>
        <w:spacing w:before="40" w:after="40"/>
      </w:pPr>
      <w:r>
        <w:rPr>
          <w:color w:val="404040"/>
        </w:rPr>
        <w:t>Sector dispersion chart — standard deviation of gaps within each sector excl. outliers</w:t>
      </w:r>
    </w:p>
    <w:p w14:paraId="73299941" w14:textId="77777777" w:rsidR="00B847F1" w:rsidRDefault="00000000">
      <w:pPr>
        <w:pStyle w:val="ListParagraph"/>
        <w:numPr>
          <w:ilvl w:val="0"/>
          <w:numId w:val="2"/>
        </w:numPr>
        <w:spacing w:before="40" w:after="40"/>
      </w:pPr>
      <w:r>
        <w:rPr>
          <w:color w:val="404040"/>
        </w:rPr>
        <w:t>Sector average gap ranked — horizontal bar chart with conditional green/red coloring</w:t>
      </w:r>
    </w:p>
    <w:p w14:paraId="73299942" w14:textId="77777777" w:rsidR="00B847F1" w:rsidRDefault="00000000">
      <w:pPr>
        <w:pStyle w:val="ListParagraph"/>
        <w:numPr>
          <w:ilvl w:val="0"/>
          <w:numId w:val="2"/>
        </w:numPr>
        <w:spacing w:before="40" w:after="40"/>
      </w:pPr>
      <w:r>
        <w:rPr>
          <w:color w:val="404040"/>
        </w:rPr>
        <w:t>Average gap trend line — weekly history from SQL Server Data_Date column</w:t>
      </w:r>
    </w:p>
    <w:p w14:paraId="73299943" w14:textId="77777777" w:rsidR="00B847F1" w:rsidRDefault="00000000">
      <w:pPr>
        <w:pStyle w:val="ListParagraph"/>
        <w:numPr>
          <w:ilvl w:val="0"/>
          <w:numId w:val="2"/>
        </w:numPr>
        <w:spacing w:before="40" w:after="40"/>
      </w:pPr>
      <w:r>
        <w:rPr>
          <w:color w:val="404040"/>
        </w:rPr>
        <w:t>Robust BUY count trend line — tracks conviction opportunity set over time</w:t>
      </w:r>
    </w:p>
    <w:p w14:paraId="73299944" w14:textId="77777777" w:rsidR="00B847F1" w:rsidRDefault="00B847F1">
      <w:pPr>
        <w:spacing w:before="60" w:after="60"/>
      </w:pPr>
    </w:p>
    <w:p w14:paraId="73299945" w14:textId="77777777" w:rsidR="00B847F1" w:rsidRDefault="00000000">
      <w:pPr>
        <w:spacing w:before="60" w:after="60"/>
      </w:pPr>
      <w:r>
        <w:rPr>
          <w:color w:val="404040"/>
        </w:rPr>
        <w:t>Key DAX measures: Median_Valuation_Gap, Valid_DCF_Coverage_Pct, Outlier_Count, Avg_Gap_Excl_Outliers, Sector_Gap_StdDev, Stocks_In_Bucket (with Gap_Buckets reference table)</w:t>
      </w:r>
    </w:p>
    <w:p w14:paraId="73299946" w14:textId="77777777" w:rsidR="00B847F1" w:rsidRDefault="00B847F1">
      <w:pPr>
        <w:spacing w:before="60" w:after="60"/>
      </w:pPr>
    </w:p>
    <w:p w14:paraId="73299947" w14:textId="77777777" w:rsidR="00B847F1" w:rsidRDefault="00000000">
      <w:pPr>
        <w:pStyle w:val="Heading2"/>
      </w:pPr>
      <w:r>
        <w:t>Page 5 — Stress-Testing Engine</w:t>
      </w:r>
    </w:p>
    <w:p w14:paraId="73299948" w14:textId="77777777" w:rsidR="00B847F1" w:rsidRDefault="00000000">
      <w:pPr>
        <w:spacing w:before="60" w:after="60"/>
      </w:pPr>
      <w:r>
        <w:rPr>
          <w:color w:val="404040"/>
        </w:rPr>
        <w:t>Assumption fragility and signal durability. Six KPI cards: Robust BUY Count, Base-Only BUY, Fragile BUY Count, Robust SELL Count, % BUY Fails Conservative, Avg Sensitivity Score.</w:t>
      </w:r>
    </w:p>
    <w:p w14:paraId="73299949" w14:textId="77777777" w:rsidR="00B847F1" w:rsidRDefault="00B847F1">
      <w:pPr>
        <w:spacing w:before="60" w:after="60"/>
      </w:pPr>
    </w:p>
    <w:p w14:paraId="7329994A" w14:textId="77777777" w:rsidR="00B847F1" w:rsidRDefault="00000000">
      <w:pPr>
        <w:pStyle w:val="ListParagraph"/>
        <w:numPr>
          <w:ilvl w:val="0"/>
          <w:numId w:val="2"/>
        </w:numPr>
        <w:spacing w:before="40" w:after="40"/>
      </w:pPr>
      <w:r>
        <w:rPr>
          <w:color w:val="404040"/>
        </w:rPr>
        <w:t>Signal durability by sector stacked bar — seven classification categories per sector</w:t>
      </w:r>
    </w:p>
    <w:p w14:paraId="7329994B" w14:textId="77777777" w:rsidR="00B847F1" w:rsidRDefault="00000000">
      <w:pPr>
        <w:pStyle w:val="ListParagraph"/>
        <w:numPr>
          <w:ilvl w:val="0"/>
          <w:numId w:val="2"/>
        </w:numPr>
        <w:spacing w:before="40" w:after="40"/>
      </w:pPr>
      <w:r>
        <w:rPr>
          <w:color w:val="404040"/>
        </w:rPr>
        <w:t>Sensitivity range by sector — avg aggressive minus conservative gap</w:t>
      </w:r>
    </w:p>
    <w:p w14:paraId="7329994C" w14:textId="77777777" w:rsidR="00B847F1" w:rsidRDefault="00000000">
      <w:pPr>
        <w:pStyle w:val="ListParagraph"/>
        <w:numPr>
          <w:ilvl w:val="0"/>
          <w:numId w:val="2"/>
        </w:numPr>
        <w:spacing w:before="40" w:after="40"/>
      </w:pPr>
      <w:r>
        <w:rPr>
          <w:color w:val="404040"/>
        </w:rPr>
        <w:t>Scenario flip donut — full universe broken into durability classifications</w:t>
      </w:r>
    </w:p>
    <w:p w14:paraId="7329994D" w14:textId="77777777" w:rsidR="00B847F1" w:rsidRDefault="00000000">
      <w:pPr>
        <w:pStyle w:val="ListParagraph"/>
        <w:numPr>
          <w:ilvl w:val="0"/>
          <w:numId w:val="2"/>
        </w:numPr>
        <w:spacing w:before="40" w:after="40"/>
      </w:pPr>
      <w:r>
        <w:rPr>
          <w:color w:val="404040"/>
        </w:rPr>
        <w:t>Diagnostic table — all stocks with durability classification, outlier flag, model risk context</w:t>
      </w:r>
    </w:p>
    <w:p w14:paraId="7329994E" w14:textId="77777777" w:rsidR="00B847F1" w:rsidRDefault="00B847F1">
      <w:pPr>
        <w:spacing w:before="60" w:after="60"/>
      </w:pPr>
    </w:p>
    <w:p w14:paraId="7329994F" w14:textId="77777777" w:rsidR="00B847F1" w:rsidRDefault="00000000">
      <w:pPr>
        <w:spacing w:before="60" w:after="60"/>
      </w:pPr>
      <w:r>
        <w:rPr>
          <w:color w:val="404040"/>
        </w:rPr>
        <w:t>Key DAX measures: Fragile_BUY_Count, Base_Only_BUY_Count, Robust_SELL_Count, Avg_Sensitivity_Score, Pct_BUY_Fails_Conservative</w:t>
      </w:r>
    </w:p>
    <w:p w14:paraId="73299950" w14:textId="77777777" w:rsidR="00B847F1" w:rsidRDefault="00000000">
      <w:pPr>
        <w:spacing w:before="60" w:after="60"/>
      </w:pPr>
      <w:r>
        <w:rPr>
          <w:color w:val="404040"/>
        </w:rPr>
        <w:t>Key calculated columns: Durability_Classification, Outlier_Flag, Sensitivity_Score_Stock</w:t>
      </w:r>
    </w:p>
    <w:p w14:paraId="73299972" w14:textId="3E00E605" w:rsidR="00B847F1" w:rsidRDefault="00000000">
      <w:r>
        <w:br w:type="page"/>
      </w:r>
    </w:p>
    <w:p w14:paraId="73299995" w14:textId="65CFBA9A" w:rsidR="00B847F1" w:rsidRDefault="00D51EA3">
      <w:pPr>
        <w:pStyle w:val="Heading1"/>
      </w:pPr>
      <w:r>
        <w:lastRenderedPageBreak/>
        <w:t>6</w:t>
      </w:r>
      <w:r w:rsidR="00000000">
        <w:t>. Automation &amp; Infrastructure — v3</w:t>
      </w:r>
    </w:p>
    <w:p w14:paraId="73299996" w14:textId="61A57319" w:rsidR="00B847F1" w:rsidRDefault="00D51EA3">
      <w:pPr>
        <w:pStyle w:val="Heading2"/>
      </w:pPr>
      <w:r>
        <w:t>6</w:t>
      </w:r>
      <w:r w:rsidR="00000000">
        <w:t>.1 Updated Pipeline</w:t>
      </w:r>
    </w:p>
    <w:p w14:paraId="73299997" w14:textId="77777777" w:rsidR="00B847F1" w:rsidRDefault="00000000">
      <w:pPr>
        <w:spacing w:before="60" w:after="60"/>
      </w:pPr>
      <w:r>
        <w:rPr>
          <w:color w:val="404040"/>
        </w:rPr>
        <w:t>Version 3 adds SQL Server as the output destination for DCF results, replacing the CSV-only approach. The CSV is retained as a backup export.</w:t>
      </w:r>
    </w:p>
    <w:p w14:paraId="7329999C" w14:textId="77777777" w:rsidR="00B847F1" w:rsidRDefault="00B847F1">
      <w:pPr>
        <w:spacing w:before="60" w:after="60"/>
      </w:pPr>
    </w:p>
    <w:p w14:paraId="7329999E" w14:textId="09E2755E" w:rsidR="00B847F1" w:rsidRDefault="00D51EA3" w:rsidP="00F344D9">
      <w:pPr>
        <w:pStyle w:val="Heading2"/>
      </w:pPr>
      <w:r>
        <w:t>6</w:t>
      </w:r>
      <w:r w:rsidR="00000000">
        <w:t>.2 SQL Server Configuration</w:t>
      </w:r>
    </w:p>
    <w:p w14:paraId="7329999F" w14:textId="77777777" w:rsidR="00B847F1" w:rsidRDefault="00B847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B847F1" w14:paraId="732999A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9A0" w14:textId="77777777" w:rsidR="00B847F1" w:rsidRDefault="00000000">
            <w:r>
              <w:rPr>
                <w:b/>
                <w:bCs/>
                <w:color w:val="FFFFFF"/>
                <w:sz w:val="20"/>
                <w:szCs w:val="20"/>
              </w:rPr>
              <w:t>Setting</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9A1" w14:textId="77777777" w:rsidR="00B847F1" w:rsidRDefault="00000000">
            <w:r>
              <w:rPr>
                <w:b/>
                <w:bCs/>
                <w:color w:val="FFFFFF"/>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999A2" w14:textId="77777777" w:rsidR="00B847F1" w:rsidRDefault="00000000">
            <w:r>
              <w:rPr>
                <w:b/>
                <w:bCs/>
                <w:color w:val="FFFFFF"/>
                <w:sz w:val="20"/>
                <w:szCs w:val="20"/>
              </w:rPr>
              <w:t>Notes</w:t>
            </w:r>
          </w:p>
        </w:tc>
      </w:tr>
      <w:tr w:rsidR="00B847F1" w14:paraId="732999A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4" w14:textId="77777777" w:rsidR="00B847F1" w:rsidRDefault="00000000">
            <w:r>
              <w:rPr>
                <w:color w:val="404040"/>
                <w:sz w:val="20"/>
                <w:szCs w:val="20"/>
              </w:rPr>
              <w:t>Server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5" w14:textId="6E4AA473" w:rsidR="00B847F1" w:rsidRDefault="00B847F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6" w14:textId="77777777" w:rsidR="00B847F1" w:rsidRDefault="00000000">
            <w:r>
              <w:rPr>
                <w:color w:val="404040"/>
                <w:sz w:val="20"/>
                <w:szCs w:val="20"/>
              </w:rPr>
              <w:t>Same instance as other Market Intelligence Suite dashboards</w:t>
            </w:r>
          </w:p>
        </w:tc>
      </w:tr>
      <w:tr w:rsidR="00B847F1" w14:paraId="732999A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A8" w14:textId="77777777" w:rsidR="00B847F1" w:rsidRDefault="00000000">
            <w:r>
              <w:rPr>
                <w:color w:val="404040"/>
                <w:sz w:val="20"/>
                <w:szCs w:val="20"/>
              </w:rPr>
              <w:t>Database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A9" w14:textId="77777777" w:rsidR="00B847F1" w:rsidRDefault="00000000">
            <w:r>
              <w:rPr>
                <w:color w:val="404040"/>
                <w:sz w:val="20"/>
                <w:szCs w:val="20"/>
              </w:rPr>
              <w:t>DCFRegime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AA" w14:textId="77777777" w:rsidR="00B847F1" w:rsidRDefault="00000000">
            <w:r>
              <w:rPr>
                <w:color w:val="404040"/>
                <w:sz w:val="20"/>
                <w:szCs w:val="20"/>
              </w:rPr>
              <w:t>Dedicated database for DCF results</w:t>
            </w:r>
          </w:p>
        </w:tc>
      </w:tr>
      <w:tr w:rsidR="00B847F1" w14:paraId="732999A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C" w14:textId="77777777" w:rsidR="00B847F1" w:rsidRDefault="00000000">
            <w:r>
              <w:rPr>
                <w:color w:val="404040"/>
                <w:sz w:val="20"/>
                <w:szCs w:val="20"/>
              </w:rPr>
              <w:t>Login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D" w14:textId="15440A45" w:rsidR="00B847F1" w:rsidRDefault="00B847F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AE" w14:textId="77777777" w:rsidR="00B847F1" w:rsidRDefault="00000000">
            <w:r>
              <w:rPr>
                <w:color w:val="404040"/>
                <w:sz w:val="20"/>
                <w:szCs w:val="20"/>
              </w:rPr>
              <w:t>SQL Server Authentication — mixed mode</w:t>
            </w:r>
          </w:p>
        </w:tc>
      </w:tr>
      <w:tr w:rsidR="00B847F1" w14:paraId="732999B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0" w14:textId="77777777" w:rsidR="00B847F1" w:rsidRDefault="00000000">
            <w:r>
              <w:rPr>
                <w:color w:val="404040"/>
                <w:sz w:val="20"/>
                <w:szCs w:val="20"/>
              </w:rPr>
              <w:t>Table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1" w14:textId="77777777" w:rsidR="00B847F1" w:rsidRDefault="00000000">
            <w:r>
              <w:rPr>
                <w:color w:val="404040"/>
                <w:sz w:val="20"/>
                <w:szCs w:val="20"/>
              </w:rPr>
              <w:t>dbo.dcf_results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2" w14:textId="77777777" w:rsidR="00B847F1" w:rsidRDefault="00000000">
            <w:r>
              <w:rPr>
                <w:color w:val="404040"/>
                <w:sz w:val="20"/>
                <w:szCs w:val="20"/>
              </w:rPr>
              <w:t>One row per ticker per Data_Date — UNIQUE constraint</w:t>
            </w:r>
          </w:p>
        </w:tc>
      </w:tr>
      <w:tr w:rsidR="00B847F1" w14:paraId="732999B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B4" w14:textId="77777777" w:rsidR="00B847F1" w:rsidRDefault="00000000">
            <w:r>
              <w:rPr>
                <w:color w:val="404040"/>
                <w:sz w:val="20"/>
                <w:szCs w:val="20"/>
              </w:rPr>
              <w:t>Indexes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B5" w14:textId="77777777" w:rsidR="00B847F1" w:rsidRDefault="00000000">
            <w:r>
              <w:rPr>
                <w:color w:val="404040"/>
                <w:sz w:val="20"/>
                <w:szCs w:val="20"/>
              </w:rPr>
              <w:t>ix_dcf_date, ix_dcf_ticker, ix_dcf_sector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99B6" w14:textId="77777777" w:rsidR="00B847F1" w:rsidRDefault="00000000">
            <w:r>
              <w:rPr>
                <w:color w:val="404040"/>
                <w:sz w:val="20"/>
                <w:szCs w:val="20"/>
              </w:rPr>
              <w:t>Optimized for Power BI query patterns</w:t>
            </w:r>
          </w:p>
        </w:tc>
      </w:tr>
      <w:tr w:rsidR="00B847F1" w14:paraId="732999B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8" w14:textId="77777777" w:rsidR="00B847F1" w:rsidRDefault="00000000">
            <w:r>
              <w:rPr>
                <w:color w:val="404040"/>
                <w:sz w:val="20"/>
                <w:szCs w:val="20"/>
              </w:rPr>
              <w:t>Gateway</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9" w14:textId="4093B023" w:rsidR="00B847F1" w:rsidRDefault="00B847F1"/>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999BA" w14:textId="77777777" w:rsidR="00B847F1" w:rsidRDefault="00000000">
            <w:r>
              <w:rPr>
                <w:color w:val="404040"/>
                <w:sz w:val="20"/>
                <w:szCs w:val="20"/>
              </w:rPr>
              <w:t>Same gateway as Macro Regime and Sentiment dashboards</w:t>
            </w:r>
          </w:p>
        </w:tc>
      </w:tr>
    </w:tbl>
    <w:p w14:paraId="732999BC" w14:textId="77777777" w:rsidR="00645752" w:rsidRDefault="00645752"/>
    <w:sectPr w:rsidR="006457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AF08" w14:textId="77777777" w:rsidR="00645752" w:rsidRDefault="00645752">
      <w:r>
        <w:separator/>
      </w:r>
    </w:p>
  </w:endnote>
  <w:endnote w:type="continuationSeparator" w:id="0">
    <w:p w14:paraId="1D7A27A5" w14:textId="77777777" w:rsidR="00645752" w:rsidRDefault="00645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9BD" w14:textId="7ECC57A0" w:rsidR="00B847F1" w:rsidRDefault="00000000">
    <w:pPr>
      <w:pBdr>
        <w:top w:val="single" w:sz="6" w:space="1" w:color="2E75B6"/>
      </w:pBdr>
      <w:tabs>
        <w:tab w:val="right" w:pos="9360"/>
      </w:tabs>
      <w:spacing w:before="120"/>
    </w:pPr>
    <w:r>
      <w:rPr>
        <w:color w:val="666666"/>
        <w:sz w:val="18"/>
        <w:szCs w:val="18"/>
      </w:rPr>
      <w:t>Confidential — Personal Investment Research</w:t>
    </w:r>
    <w:r>
      <w:rPr>
        <w:sz w:val="18"/>
        <w:szCs w:val="18"/>
      </w:rP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A063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3A403" w14:textId="77777777" w:rsidR="00645752" w:rsidRDefault="00645752">
      <w:r>
        <w:separator/>
      </w:r>
    </w:p>
  </w:footnote>
  <w:footnote w:type="continuationSeparator" w:id="0">
    <w:p w14:paraId="477B9CE9" w14:textId="77777777" w:rsidR="00645752" w:rsidRDefault="00645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9BC" w14:textId="77777777" w:rsidR="00B847F1" w:rsidRDefault="00000000">
    <w:pPr>
      <w:pBdr>
        <w:bottom w:val="single" w:sz="6" w:space="1" w:color="2E75B6"/>
      </w:pBdr>
      <w:tabs>
        <w:tab w:val="right" w:pos="9360"/>
      </w:tabs>
      <w:spacing w:after="120"/>
    </w:pPr>
    <w:r>
      <w:rPr>
        <w:color w:val="666666"/>
        <w:sz w:val="18"/>
        <w:szCs w:val="18"/>
      </w:rPr>
      <w:t>S&amp;P 500 DCF Valuation Dashboard  |  Methodology &amp; Analysis — v3</w:t>
    </w:r>
    <w:r>
      <w:rPr>
        <w:sz w:val="18"/>
        <w:szCs w:val="18"/>
      </w:rPr>
      <w:tab/>
    </w:r>
    <w:r>
      <w:rPr>
        <w:b/>
        <w:bCs/>
        <w:color w:val="666666"/>
        <w:sz w:val="18"/>
        <w:szCs w:val="18"/>
      </w:rPr>
      <w:t>Tj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FB1"/>
    <w:multiLevelType w:val="hybridMultilevel"/>
    <w:tmpl w:val="D5E64FF4"/>
    <w:lvl w:ilvl="0" w:tplc="D722ADFC">
      <w:start w:val="1"/>
      <w:numFmt w:val="bullet"/>
      <w:lvlText w:val="•"/>
      <w:lvlJc w:val="left"/>
      <w:pPr>
        <w:ind w:left="720" w:hanging="360"/>
      </w:pPr>
    </w:lvl>
    <w:lvl w:ilvl="1" w:tplc="34527F7C">
      <w:numFmt w:val="decimal"/>
      <w:lvlText w:val=""/>
      <w:lvlJc w:val="left"/>
    </w:lvl>
    <w:lvl w:ilvl="2" w:tplc="426EDC1C">
      <w:numFmt w:val="decimal"/>
      <w:lvlText w:val=""/>
      <w:lvlJc w:val="left"/>
    </w:lvl>
    <w:lvl w:ilvl="3" w:tplc="DA187C0A">
      <w:numFmt w:val="decimal"/>
      <w:lvlText w:val=""/>
      <w:lvlJc w:val="left"/>
    </w:lvl>
    <w:lvl w:ilvl="4" w:tplc="22F8E2AC">
      <w:numFmt w:val="decimal"/>
      <w:lvlText w:val=""/>
      <w:lvlJc w:val="left"/>
    </w:lvl>
    <w:lvl w:ilvl="5" w:tplc="60949F46">
      <w:numFmt w:val="decimal"/>
      <w:lvlText w:val=""/>
      <w:lvlJc w:val="left"/>
    </w:lvl>
    <w:lvl w:ilvl="6" w:tplc="E25449C8">
      <w:numFmt w:val="decimal"/>
      <w:lvlText w:val=""/>
      <w:lvlJc w:val="left"/>
    </w:lvl>
    <w:lvl w:ilvl="7" w:tplc="FE722150">
      <w:numFmt w:val="decimal"/>
      <w:lvlText w:val=""/>
      <w:lvlJc w:val="left"/>
    </w:lvl>
    <w:lvl w:ilvl="8" w:tplc="4C00F40A">
      <w:numFmt w:val="decimal"/>
      <w:lvlText w:val=""/>
      <w:lvlJc w:val="left"/>
    </w:lvl>
  </w:abstractNum>
  <w:abstractNum w:abstractNumId="1" w15:restartNumberingAfterBreak="0">
    <w:nsid w:val="1DC94C39"/>
    <w:multiLevelType w:val="hybridMultilevel"/>
    <w:tmpl w:val="CB02B4B4"/>
    <w:lvl w:ilvl="0" w:tplc="0BFAB4EC">
      <w:start w:val="1"/>
      <w:numFmt w:val="bullet"/>
      <w:lvlText w:val="●"/>
      <w:lvlJc w:val="left"/>
      <w:pPr>
        <w:ind w:left="720" w:hanging="360"/>
      </w:pPr>
    </w:lvl>
    <w:lvl w:ilvl="1" w:tplc="4372CDE2">
      <w:start w:val="1"/>
      <w:numFmt w:val="bullet"/>
      <w:lvlText w:val="○"/>
      <w:lvlJc w:val="left"/>
      <w:pPr>
        <w:ind w:left="1440" w:hanging="360"/>
      </w:pPr>
    </w:lvl>
    <w:lvl w:ilvl="2" w:tplc="E004A29E">
      <w:start w:val="1"/>
      <w:numFmt w:val="bullet"/>
      <w:lvlText w:val="■"/>
      <w:lvlJc w:val="left"/>
      <w:pPr>
        <w:ind w:left="2160" w:hanging="360"/>
      </w:pPr>
    </w:lvl>
    <w:lvl w:ilvl="3" w:tplc="FEA21E28">
      <w:start w:val="1"/>
      <w:numFmt w:val="bullet"/>
      <w:lvlText w:val="●"/>
      <w:lvlJc w:val="left"/>
      <w:pPr>
        <w:ind w:left="2880" w:hanging="360"/>
      </w:pPr>
    </w:lvl>
    <w:lvl w:ilvl="4" w:tplc="629A4B9E">
      <w:start w:val="1"/>
      <w:numFmt w:val="bullet"/>
      <w:lvlText w:val="○"/>
      <w:lvlJc w:val="left"/>
      <w:pPr>
        <w:ind w:left="3600" w:hanging="360"/>
      </w:pPr>
    </w:lvl>
    <w:lvl w:ilvl="5" w:tplc="68A0295C">
      <w:start w:val="1"/>
      <w:numFmt w:val="bullet"/>
      <w:lvlText w:val="■"/>
      <w:lvlJc w:val="left"/>
      <w:pPr>
        <w:ind w:left="4320" w:hanging="360"/>
      </w:pPr>
    </w:lvl>
    <w:lvl w:ilvl="6" w:tplc="F5AC62A8">
      <w:start w:val="1"/>
      <w:numFmt w:val="bullet"/>
      <w:lvlText w:val="●"/>
      <w:lvlJc w:val="left"/>
      <w:pPr>
        <w:ind w:left="5040" w:hanging="360"/>
      </w:pPr>
    </w:lvl>
    <w:lvl w:ilvl="7" w:tplc="38EE6DA2">
      <w:start w:val="1"/>
      <w:numFmt w:val="bullet"/>
      <w:lvlText w:val="●"/>
      <w:lvlJc w:val="left"/>
      <w:pPr>
        <w:ind w:left="5760" w:hanging="360"/>
      </w:pPr>
    </w:lvl>
    <w:lvl w:ilvl="8" w:tplc="6E3C7BA6">
      <w:start w:val="1"/>
      <w:numFmt w:val="bullet"/>
      <w:lvlText w:val="●"/>
      <w:lvlJc w:val="left"/>
      <w:pPr>
        <w:ind w:left="6480" w:hanging="360"/>
      </w:pPr>
    </w:lvl>
  </w:abstractNum>
  <w:abstractNum w:abstractNumId="2" w15:restartNumberingAfterBreak="0">
    <w:nsid w:val="7BED0F34"/>
    <w:multiLevelType w:val="hybridMultilevel"/>
    <w:tmpl w:val="CC6264BC"/>
    <w:lvl w:ilvl="0" w:tplc="1AD00E26">
      <w:start w:val="1"/>
      <w:numFmt w:val="decimal"/>
      <w:lvlText w:val="%1."/>
      <w:lvlJc w:val="left"/>
      <w:pPr>
        <w:ind w:left="720" w:hanging="360"/>
      </w:pPr>
    </w:lvl>
    <w:lvl w:ilvl="1" w:tplc="172E7EE4">
      <w:numFmt w:val="decimal"/>
      <w:lvlText w:val=""/>
      <w:lvlJc w:val="left"/>
    </w:lvl>
    <w:lvl w:ilvl="2" w:tplc="655AC1EC">
      <w:numFmt w:val="decimal"/>
      <w:lvlText w:val=""/>
      <w:lvlJc w:val="left"/>
    </w:lvl>
    <w:lvl w:ilvl="3" w:tplc="27320836">
      <w:numFmt w:val="decimal"/>
      <w:lvlText w:val=""/>
      <w:lvlJc w:val="left"/>
    </w:lvl>
    <w:lvl w:ilvl="4" w:tplc="518AAB06">
      <w:numFmt w:val="decimal"/>
      <w:lvlText w:val=""/>
      <w:lvlJc w:val="left"/>
    </w:lvl>
    <w:lvl w:ilvl="5" w:tplc="B400DFC2">
      <w:numFmt w:val="decimal"/>
      <w:lvlText w:val=""/>
      <w:lvlJc w:val="left"/>
    </w:lvl>
    <w:lvl w:ilvl="6" w:tplc="95B47E38">
      <w:numFmt w:val="decimal"/>
      <w:lvlText w:val=""/>
      <w:lvlJc w:val="left"/>
    </w:lvl>
    <w:lvl w:ilvl="7" w:tplc="B422EA6C">
      <w:numFmt w:val="decimal"/>
      <w:lvlText w:val=""/>
      <w:lvlJc w:val="left"/>
    </w:lvl>
    <w:lvl w:ilvl="8" w:tplc="D032A220">
      <w:numFmt w:val="decimal"/>
      <w:lvlText w:val=""/>
      <w:lvlJc w:val="left"/>
    </w:lvl>
  </w:abstractNum>
  <w:num w:numId="1" w16cid:durableId="1077168125">
    <w:abstractNumId w:val="1"/>
    <w:lvlOverride w:ilvl="0">
      <w:startOverride w:val="1"/>
    </w:lvlOverride>
  </w:num>
  <w:num w:numId="2" w16cid:durableId="135999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7F1"/>
    <w:rsid w:val="001F166E"/>
    <w:rsid w:val="005049CC"/>
    <w:rsid w:val="005A0630"/>
    <w:rsid w:val="00645752"/>
    <w:rsid w:val="007D2640"/>
    <w:rsid w:val="00B847F1"/>
    <w:rsid w:val="00D51EA3"/>
    <w:rsid w:val="00F3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986B"/>
  <w15:docId w15:val="{EDA9B5FB-82C1-4FE3-A09B-867E9801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2208</Words>
  <Characters>12944</Characters>
  <Application>Microsoft Office Word</Application>
  <DocSecurity>0</DocSecurity>
  <Lines>380</Lines>
  <Paragraphs>210</Paragraphs>
  <ScaleCrop>false</ScaleCrop>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Sancho</cp:lastModifiedBy>
  <cp:revision>6</cp:revision>
  <dcterms:created xsi:type="dcterms:W3CDTF">2026-04-29T14:51:00Z</dcterms:created>
  <dcterms:modified xsi:type="dcterms:W3CDTF">2026-04-29T14:55:00Z</dcterms:modified>
</cp:coreProperties>
</file>