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616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7B061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3E108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Full crop protection from an insect pest by expression of long double-stranded RNAs in plastids</w:t>
      </w:r>
    </w:p>
    <w:p w14:paraId="1FC4B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Source: Science 2015</w:t>
      </w:r>
    </w:p>
    <w:p w14:paraId="570BA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DOI: 10.1126/science.1261680</w:t>
      </w:r>
    </w:p>
    <w:p w14:paraId="42425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Scope: Engineering transplastomic potato plants to express long dsRNAs targeting essential insect genes within chloroplasts, providing a novel strategy for RNAi-based crop protection.</w:t>
      </w:r>
    </w:p>
    <w:p w14:paraId="4D5DC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Study_type: resistance validation, functional knockdown</w:t>
      </w:r>
    </w:p>
    <w:p w14:paraId="33078E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Target_context: Achieving high-level accumulation of insecticidal dsRNA in plant chloroplasts to bypass plant RNAi machinery and confer durable protection against a chewing insect pest.</w:t>
      </w:r>
    </w:p>
    <w:p w14:paraId="5779A6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Organism_or_system: Plant (Nicotiana tabacum, Solanum tuberosum); Insect (Leptinotarsa decemlineata, Colorado potato beetle)</w:t>
      </w:r>
    </w:p>
    <w:p w14:paraId="254FB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Delivery_or_intervention_mode: Transgenic (chloroplast transformation, nuclear transformation for comparison), HIGS (Host-Induced Gene Silencing), direct feeding on painted dsRNA</w:t>
      </w:r>
    </w:p>
    <w:p w14:paraId="2B4EB0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E3F3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Metadata</w:t>
      </w:r>
    </w:p>
    <w:p w14:paraId="0B59B9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Source: Science 2015</w:t>
      </w:r>
    </w:p>
    <w:p w14:paraId="2CAC48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DOI: 10.1126/science.1261680</w:t>
      </w:r>
    </w:p>
    <w:p w14:paraId="7A4EF9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Scope: Development of transplastomic plants that express long dsRNAs in chloroplasts for durable RNAi-mediated insect pest resistance.</w:t>
      </w:r>
    </w:p>
    <w:p w14:paraId="2F207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Study_type: resistance validation</w:t>
      </w:r>
    </w:p>
    <w:p w14:paraId="06ABB2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Organism: Solanum tuberosum (potato, cv. Désirée), Nicotiana tabacum (tobacco, cv. Petit Havana), Leptinotarsa decemlineata (Colorado potato beetle)</w:t>
      </w:r>
    </w:p>
    <w:p w14:paraId="40BCE4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Developmental_stage: Plants: tissue culture plantlets, mature soil-grown plants; Insect: neonates, first/second/third instar larvae, adults</w:t>
      </w:r>
    </w:p>
    <w:p w14:paraId="73F01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Delivery_mode: Host-Induced Gene Silencing (HIGS) via transgenic plant consumption, topical application (painting dsRNA on leaves)</w:t>
      </w:r>
    </w:p>
    <w:p w14:paraId="62993C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Molecule_or_intervention_type: Long dsRNA targeting insect β-actin (ACT) and Shrub (SHR) genes</w:t>
      </w:r>
    </w:p>
    <w:p w14:paraId="0761F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Application_context: Laboratory and greenhouse</w:t>
      </w:r>
    </w:p>
    <w:p w14:paraId="077BF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Validation_level: Multi-level (Molecular confirmation of transgene integration/homoplasmy, dsRNA/siRNA detection, target gene transcript knockdown, physiological measurement, lethal phenotypic effects)</w:t>
      </w:r>
    </w:p>
    <w:p w14:paraId="72DCB4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Target_gene_or_pathway: β-actin (ACT), Shrub (SHR) of Leptinotarsa decemlineata</w:t>
      </w:r>
    </w:p>
    <w:p w14:paraId="722D0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E520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Usage note</w:t>
      </w:r>
    </w:p>
    <w:p w14:paraId="3537D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This document is intended for experimental workflow guidance and protocol-level reasoning.</w:t>
      </w:r>
    </w:p>
    <w:p w14:paraId="00260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Numerical parameters and optimization details should be adapted to specific experimental contexts.</w:t>
      </w:r>
    </w:p>
    <w:p w14:paraId="121AA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0C71CA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C33A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1: Design and Cloning of Plastid Transformation Vectors for dsRNA Expression</w:t>
      </w:r>
    </w:p>
    <w:p w14:paraId="32B0DB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**[PROTOCOL_STAGE=SEQUENCE_TEMPLATE_PREPARATION]**</w:t>
      </w:r>
    </w:p>
    <w:p w14:paraId="51E9DE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7CEF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 when:</w:t>
      </w:r>
    </w:p>
    <w:p w14:paraId="0399B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Constructing vectors for stable integration and expression of long dsRNA sequences within the chloroplast genome of plants (e.g., tobacco, potato).</w:t>
      </w:r>
    </w:p>
    <w:p w14:paraId="2A028D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3453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Purpose:</w:t>
      </w:r>
    </w:p>
    <w:p w14:paraId="03D649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assemble transformation cassettes that enable high-level, stable accumulation of insect-targeting dsRNAs in chloroplasts, utilizing convergent promoters or hairpin structures.</w:t>
      </w:r>
    </w:p>
    <w:p w14:paraId="41C1C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D7F1D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Procedure:</w:t>
      </w:r>
    </w:p>
    <w:p w14:paraId="21E65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Select target insect gene sequences (e.g., 297 bp of β-actin, 220 bp of Shrub from Leptinotarsa decemlineata). Synthesize a fusion fragment with added restriction sites for cloning.</w:t>
      </w:r>
    </w:p>
    <w:p w14:paraId="46BE8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Base vector construction: Start with a plastid transformation vector backbone (e.g., modified pKP9). Replace the existing selectable marker cassette (aadA) with a version driven by the Chlamydomonas reinhardtii PpsbA promoter and terminated by the rbcL 3'UTR to create the base vector (e.g., pJZ100).</w:t>
      </w:r>
    </w:p>
    <w:p w14:paraId="7962D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For convergent promoter (ptDP) constructs:</w:t>
      </w:r>
    </w:p>
    <w:p w14:paraId="033D13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Amplify two copies of the plastid Prrn promoter with added restriction sites.</w:t>
      </w:r>
    </w:p>
    <w:p w14:paraId="28651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Clone the first Prrn promoter into a cloning vector (e.g., pUC19). Then, clone the insect target gene fragment downstream of this promoter.</w:t>
      </w:r>
    </w:p>
    <w:p w14:paraId="285C41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Clone the second Prrn promoter in the convergent (opposite) orientation upstream of the gene fragment, creating a head-to-head promoter arrangement that will transcribe both strands.</w:t>
      </w:r>
    </w:p>
    <w:p w14:paraId="4BABB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Excise the complete convergent expression cassette and clone it into the base plastid transformation vector (pJZ100).</w:t>
      </w:r>
    </w:p>
    <w:p w14:paraId="74D6C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For stem-loop flanked (ptSL) constructs: Follow a similar cloning strategy as for ptDP, but use primers that add sequences to the Prrn promoters which will fold into 24 bp stem-loop structures in the resulting RNA.</w:t>
      </w:r>
    </w:p>
    <w:p w14:paraId="14DA22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For hairpin RNA (ptHP) constructs:</w:t>
      </w:r>
    </w:p>
    <w:p w14:paraId="74701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Clone a spliceosomal intron (e.g., from potato GA20 oxidase) into a vector between two cloning sites.</w:t>
      </w:r>
    </w:p>
    <w:p w14:paraId="3ACD7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Clone the insect target gene fragment in sense orientation upstream of the intron.</w:t>
      </w:r>
    </w:p>
    <w:p w14:paraId="5A778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Clone a second, antisense copy of the target fragment downstream of the intron.</w:t>
      </w:r>
    </w:p>
    <w:p w14:paraId="61C3F9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Assemble this sense-intron-antisense hairpin cassette into the base plastid transformation vector.</w:t>
      </w:r>
    </w:p>
    <w:p w14:paraId="18DBF3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For nuclear transformation (nuHP) control constructs: Use a similar hairpin design (sense-intron-antisense) but clone the cassette into a binary vector suitable for Agrobacterium-mediated nuclear transformation (e.g., pEZR(H)-LN).</w:t>
      </w:r>
    </w:p>
    <w:p w14:paraId="00B43E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Verify all vector sequences by sequencing and deposit in a public database (e.g., GenBank).</w:t>
      </w:r>
    </w:p>
    <w:p w14:paraId="4A67F7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75B09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materials and equipment:</w:t>
      </w:r>
    </w:p>
    <w:p w14:paraId="5C4AC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Synthesized insect gene DNA fragments</w:t>
      </w:r>
    </w:p>
    <w:p w14:paraId="2D602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Plastid transformation vector backbone (e.g., pKP9 derivative)</w:t>
      </w:r>
    </w:p>
    <w:p w14:paraId="2F9655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Cloning vectors (pUC19, pBluescript KS(-))</w:t>
      </w:r>
    </w:p>
    <w:p w14:paraId="57877B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PCR reagents and thermocycler</w:t>
      </w:r>
    </w:p>
    <w:p w14:paraId="07B936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Restriction enzymes, DNA polymerase I (Klenow fragment) for blunting</w:t>
      </w:r>
    </w:p>
    <w:p w14:paraId="74D549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Ligase, competent E. coli cells</w:t>
      </w:r>
    </w:p>
    <w:p w14:paraId="6DDE5A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Binary vector for Agrobacterium transformation</w:t>
      </w:r>
    </w:p>
    <w:p w14:paraId="5E2B98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047E8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Controls_and_validation:</w:t>
      </w:r>
    </w:p>
    <w:p w14:paraId="72AAF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Design specificity controls: Perform in silico BLASTN analysis of dsRNA sequences against the host plant genome and non-target insects (e.g., pollinators) to predict off-target risks.</w:t>
      </w:r>
    </w:p>
    <w:p w14:paraId="4F55BB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Nuclear transformation vectors (nuHP) serve as comparative controls to assess the efficiency of chloroplast versus nuclear expression.</w:t>
      </w:r>
    </w:p>
    <w:p w14:paraId="61FF2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Sequencing confirms correct assembly and orientation of promoters/gene fragments.</w:t>
      </w:r>
    </w:p>
    <w:p w14:paraId="7C1DE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C224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</w:t>
      </w:r>
    </w:p>
    <w:p w14:paraId="04815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convergent promoter (ptDP) strategy is designed to produce long, perfect duplex dsRNA.</w:t>
      </w:r>
    </w:p>
    <w:p w14:paraId="544B8E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hairpin (ptHP) and stem-loop (ptSL) designs may influence RNA stability or processing.</w:t>
      </w:r>
    </w:p>
    <w:p w14:paraId="5BF68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Intron inclusion in nuclear hairpin constructs is standard for enhancing RNAi efficiency.</w:t>
      </w:r>
    </w:p>
    <w:p w14:paraId="69D9C2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432820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B345D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2: Plastid Transformation of Potato via Biolistics</w:t>
      </w:r>
    </w:p>
    <w:p w14:paraId="56942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**[PROTOCOL_STAGE=ORGANISM_REARING]**</w:t>
      </w:r>
    </w:p>
    <w:p w14:paraId="606ED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1F39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 when:</w:t>
      </w:r>
    </w:p>
    <w:p w14:paraId="29D77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Generating stable, homoplasmic transplastomic potato plants expressing dsRNAs, a process more challenging than tobacco transformation.</w:t>
      </w:r>
    </w:p>
    <w:p w14:paraId="451684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B23CC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Purpose:</w:t>
      </w:r>
    </w:p>
    <w:p w14:paraId="7B0DD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integrate the dsRNA expression cassette into the chloroplast genome of potato and regenerate homoplasmic plants where all chloroplast copies carry the transgene.</w:t>
      </w:r>
    </w:p>
    <w:p w14:paraId="5ACF95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4154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Procedure:</w:t>
      </w:r>
    </w:p>
    <w:p w14:paraId="6FD704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Plant Material: Grow potato plants (Solanum tuberosum cv. Désirée) aseptically on MS medium with 20 g/L sucrose.</w:t>
      </w:r>
    </w:p>
    <w:p w14:paraId="5346C2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Pre-culture: Incubate young leaves from these plants for 24 hours in the dark on pre-culture medium (StM1: MS salts, B5 vitamins, 3% sucrose, 0.1 M sorbitol, 0.1 M mannitol, pH 5.7, solidified with 0.6% agar).</w:t>
      </w:r>
    </w:p>
    <w:p w14:paraId="630DF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Biolistic Transformation: Coat gold particles with plasmid DNA of the plastid transformation vector (e.g., pJZ199). Bombard the pre-cultured leaves using a particle delivery system (e.g., PDS1000/He with Hepta adapter).</w:t>
      </w:r>
    </w:p>
    <w:p w14:paraId="1D68CA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Post-bombardment: Incubate bombarded leaves in the dark for up to 1 day.</w:t>
      </w:r>
    </w:p>
    <w:p w14:paraId="0315F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Callus Induction: Cut leaves into ~3 x 3 mm pieces. Transfer to selection/callus induction medium (StM2: MS/B5, 3% sucrose, 2 mg/L 2,4-D, 0.8 mg/L zeatin riboside, 400 mg/L spectinomycin). Incubate under dim light (10 µmol photons m⁻² s⁻¹, 16h light/8h dark) for 1 month.</w:t>
      </w:r>
    </w:p>
    <w:p w14:paraId="0BFCCF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Shoot Regeneration: Transfer tissue to shoot regeneration medium (StM3: MS/B5, 1.6% glucose, 2 mg/L IAA, 3 mg/L zeatin riboside, 1 mg/L GA3, 400 mg/L spectinomycin). Subculture every 4 weeks until resistant shoots appear.</w:t>
      </w:r>
    </w:p>
    <w:p w14:paraId="76E90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Shoot Multiplication: Transfer regenerated shoots to multiplication medium (StM4: MS/B5, 3% sucrose, 0.1 mg/L IAA, 3 mg/L zeatin riboside, 400 mg/L spectinomycin). Incubate for 1-3 months.</w:t>
      </w:r>
    </w:p>
    <w:p w14:paraId="6271B8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 Rooting: Transfer shoots to rooting medium (MS medium, 3% sucrose, 400 mg/L spectinomycin) to stimulate root development.</w:t>
      </w:r>
    </w:p>
    <w:p w14:paraId="72BDC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9.  Acclimatization: Transfer rooted plantlets to soil and grow to maturity under standard greenhouse conditions.</w:t>
      </w:r>
    </w:p>
    <w:p w14:paraId="0829D2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10. Homoplasmy Verification: Confirm homoplasmy by Southern blot analysis of total cellular DNA from mature leaves.</w:t>
      </w:r>
    </w:p>
    <w:p w14:paraId="3DDE2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2C6C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materials and equipment:</w:t>
      </w:r>
    </w:p>
    <w:p w14:paraId="0DCB16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Aseptically grown potato plants</w:t>
      </w:r>
    </w:p>
    <w:p w14:paraId="072C6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Plasmid DNA-coated gold particles</w:t>
      </w:r>
    </w:p>
    <w:p w14:paraId="6BDE4B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Particle delivery system (PDS1000/He, Hepta adapter)</w:t>
      </w:r>
    </w:p>
    <w:p w14:paraId="6C070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Series of sterile, hormone-supplemented media (StM1-StM4, rooting medium)</w:t>
      </w:r>
    </w:p>
    <w:p w14:paraId="6F3064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Growth chambers with controlled light/dark cycles</w:t>
      </w:r>
    </w:p>
    <w:p w14:paraId="76541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Greenhouse facilities</w:t>
      </w:r>
    </w:p>
    <w:p w14:paraId="0E03D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9C31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Controls_and_validation:</w:t>
      </w:r>
    </w:p>
    <w:p w14:paraId="20078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Untransformed wild-type plants grown under identical conditions serve as negative controls.</w:t>
      </w:r>
    </w:p>
    <w:p w14:paraId="253F3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Homoplasmy is rigorously confirmed by Southern blotting using a probe that reveals a restriction fragment length polymorphism (RFLP) between wild-type and transformed chloroplast genomes.</w:t>
      </w:r>
    </w:p>
    <w:p w14:paraId="58110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1548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</w:t>
      </w:r>
    </w:p>
    <w:p w14:paraId="666D9A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This protocol is optimized for potato cultivar Désirée and may require modification for other cultivars/species.</w:t>
      </w:r>
    </w:p>
    <w:p w14:paraId="20F44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multi-step media sequence is critical for recovering transplastomic potato lines.</w:t>
      </w:r>
    </w:p>
    <w:p w14:paraId="021510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Homoplasmy is essential for stable inheritance and uniform expression.</w:t>
      </w:r>
    </w:p>
    <w:p w14:paraId="12C58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0FD135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8F661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3: Molecular Validation of Transplastomic Plants</w:t>
      </w:r>
    </w:p>
    <w:p w14:paraId="34CE3D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**[PROTOCOL_STAGE=RNA_QUALITY_CONTROL]**</w:t>
      </w:r>
    </w:p>
    <w:p w14:paraId="0A4E09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A9710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 when:</w:t>
      </w:r>
    </w:p>
    <w:p w14:paraId="75EDB4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Confirming successful plastid transformation, homoplasmy, and dsRNA accumulation in transplastomic plants (tobacco or potato) prior to insect bioassays.</w:t>
      </w:r>
    </w:p>
    <w:p w14:paraId="6D8E1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D3B1F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Purpose:</w:t>
      </w:r>
    </w:p>
    <w:p w14:paraId="01EF8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provide molecular evidence of correct transgene integration, absence of wild-type chloroplast genomes, and accumulation of the intended long dsRNA (and absence of siRNAs) in chloroplasts.</w:t>
      </w:r>
    </w:p>
    <w:p w14:paraId="24096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0FA9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Procedure:</w:t>
      </w:r>
    </w:p>
    <w:p w14:paraId="7C2C3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DNA Extraction: Extract total cellular DNA from young leaves of soil-grown plants using a CTAB-based method.</w:t>
      </w:r>
    </w:p>
    <w:p w14:paraId="3605B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Southern Blot for Homoplasmy:</w:t>
      </w:r>
    </w:p>
    <w:p w14:paraId="641CB8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Digest ~5 µg of total DNA with a restriction enzyme (e.g., BglII) that produces distinct fragment sizes for wild-type and transformed chloroplast genomes.</w:t>
      </w:r>
    </w:p>
    <w:p w14:paraId="246C53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Separate fragments on a 0.8% agarose gel and perform capillary blotting onto a nylon membrane.</w:t>
      </w:r>
    </w:p>
    <w:p w14:paraId="17899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Generate a digoxigenin- or radioactively labeled probe (e.g., a 550 bp fragment of the psaB gene) that hybridizes to a region flanking the integration site.</w:t>
      </w:r>
    </w:p>
    <w:p w14:paraId="05B0B8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Hybridize the probe to the membrane. A single band of expected size confirms homoplasmy; two bands indicate heteroplasmy.</w:t>
      </w:r>
    </w:p>
    <w:p w14:paraId="7C8C05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RNA Extraction: Extract total cellular RNA from leaf (and tuber) samples using a phenol-based reagent (e.g., TriFast) or a commercial plant RNA kit.</w:t>
      </w:r>
    </w:p>
    <w:p w14:paraId="106BE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RNA Gel Blot for dsRNA Detection:</w:t>
      </w:r>
    </w:p>
    <w:p w14:paraId="5B4CA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Separate total RNA samples on a 1% formaldehyde-agarose gel.</w:t>
      </w:r>
    </w:p>
    <w:p w14:paraId="44BE81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Blot onto a nylon membrane.</w:t>
      </w:r>
    </w:p>
    <w:p w14:paraId="560F1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Hybridize with a labeled probe specific for the insect target sequence (e.g., ACT or SHR).</w:t>
      </w:r>
    </w:p>
    <w:p w14:paraId="19D66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Detect the high molecular weight dsRNA signal. A strong signal at the expected size indicates accumulation.</w:t>
      </w:r>
    </w:p>
    <w:p w14:paraId="2A2C0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siRNA Gel Blot Analysis:</w:t>
      </w:r>
    </w:p>
    <w:p w14:paraId="494B8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Separate 20 µg of total RNA on a 14% denaturing polyacrylamide gel (7 M urea, 0.3 M sodium acetate buffer).</w:t>
      </w:r>
    </w:p>
    <w:p w14:paraId="30161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Electroblot the RNA onto a nylon membrane.</w:t>
      </w:r>
    </w:p>
    <w:p w14:paraId="34495B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Hybridize at lower stringency (42°C) with the same insect target probe.</w:t>
      </w:r>
    </w:p>
    <w:p w14:paraId="08C3D3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The absence of a low molecular weight siRNA signal confirms the dsRNA is not processed by the plant's cytoplasmic RNAi machinery.</w:t>
      </w:r>
    </w:p>
    <w:p w14:paraId="0CD43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738BB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materials and equipment:</w:t>
      </w:r>
    </w:p>
    <w:p w14:paraId="4CF6F5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CTAB DNA extraction reagents</w:t>
      </w:r>
    </w:p>
    <w:p w14:paraId="07EA7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Phenol-based RNA extraction reagents (TriFast) or commercial kits</w:t>
      </w:r>
    </w:p>
    <w:p w14:paraId="1A7D9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Agarose and polyacrylamide gel electrophoresis systems</w:t>
      </w:r>
    </w:p>
    <w:p w14:paraId="579806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Capillary and electroblotting apparatus</w:t>
      </w:r>
    </w:p>
    <w:p w14:paraId="138A4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Nylon membranes (Hybond)</w:t>
      </w:r>
    </w:p>
    <w:p w14:paraId="61A65A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Radioactive or non-radioactive labeling and detection systems (e.g., Multiprime DNA labeling system, [α32P]dCTP)</w:t>
      </w:r>
    </w:p>
    <w:p w14:paraId="47F52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Hybridization oven</w:t>
      </w:r>
    </w:p>
    <w:p w14:paraId="33BF27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49024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Controls_and_validation:</w:t>
      </w:r>
    </w:p>
    <w:p w14:paraId="1FB0C3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Wild-type plant DNA/RNA serves as a negative control for transgene presence and dsRNA accumulation.</w:t>
      </w:r>
    </w:p>
    <w:p w14:paraId="0C93A1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 homoplasmic tobacco line can be used as a positive control for dsRNA detection.</w:t>
      </w:r>
    </w:p>
    <w:p w14:paraId="3193C5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siRNA blot's negative result is a key validation that chloroplast-produced dsRNAs evade plant siRNA processing.</w:t>
      </w:r>
    </w:p>
    <w:p w14:paraId="11F1B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3067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</w:t>
      </w:r>
    </w:p>
    <w:p w14:paraId="3F6B1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RNA extraction from tubers requires a specific kit to handle high starch/polysaccharide content.</w:t>
      </w:r>
    </w:p>
    <w:p w14:paraId="57BEF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Handling of radioactive materials requires appropriate safety protocols; non-radioactive methods can be substituted.</w:t>
      </w:r>
    </w:p>
    <w:p w14:paraId="08810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absence of siRNA is a critical differentiator from nuclear-expressed hairpin RNAs.</w:t>
      </w:r>
    </w:p>
    <w:p w14:paraId="3FBD79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73BB3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4711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4: Insect Bioassay on Transplastomic Plants</w:t>
      </w:r>
    </w:p>
    <w:p w14:paraId="39763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**[PROTOCOL_STAGE=EXPOSURE_MAINTENANCE]**</w:t>
      </w:r>
    </w:p>
    <w:p w14:paraId="1EE21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5B09B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 when:</w:t>
      </w:r>
    </w:p>
    <w:p w14:paraId="502FD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Evaluating the insecticidal efficacy of transplastomic plants expressing insect-targeted dsRNA against chewing pest larvae (e.g., Colorado potato beetle).</w:t>
      </w:r>
    </w:p>
    <w:p w14:paraId="3313A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C2B53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Purpose:</w:t>
      </w:r>
    </w:p>
    <w:p w14:paraId="17E60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quantify the protective effect of chloroplast-expressed dsRNA by measuring larval mortality, growth inhibition, and feeding damage.</w:t>
      </w:r>
    </w:p>
    <w:p w14:paraId="215337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55915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Procedure:</w:t>
      </w:r>
    </w:p>
    <w:p w14:paraId="625A8D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Insect Rearing: Maintain a colony of Colorado potato beetle (Leptinotarsa decemlineata) on wild-type potato plants (cv. Belana or Désirée) at 26°C, 16h light/8h dark.</w:t>
      </w:r>
    </w:p>
    <w:p w14:paraId="69673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Experimental Cohort Preparation: Allow adults to lay eggs on wild-type plants. Collect eggs and transfer to fresh leaves for synchronized hatching.</w:t>
      </w:r>
    </w:p>
    <w:p w14:paraId="393B4A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Plant Preparation: Use 2-month-old soil-grown transplastomic potato plants (e.g., St-ptDP-ACT), nuclear transgenic controls, and wild-type controls.</w:t>
      </w:r>
    </w:p>
    <w:p w14:paraId="5259A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Bioassay Setup:</w:t>
      </w:r>
    </w:p>
    <w:p w14:paraId="1A131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Select synchronized first instar larvae.</w:t>
      </w:r>
    </w:p>
    <w:p w14:paraId="66CB65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Weigh larvae individually and divide into groups of 10-20 individuals per biological replicate (3 replicates per plant type).</w:t>
      </w:r>
    </w:p>
    <w:p w14:paraId="006894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Place each group of larvae on detached young leaves from the corresponding plant type.</w:t>
      </w:r>
    </w:p>
    <w:p w14:paraId="0499DD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Monitoring and Data Collection:</w:t>
      </w:r>
    </w:p>
    <w:p w14:paraId="0160DB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Replace consumed leaves with fresh young leaves from the same plant type daily.</w:t>
      </w:r>
    </w:p>
    <w:p w14:paraId="5D56E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At designated time points (e.g., 3, 5, 7, 9 days), re-weigh the larvae.</w:t>
      </w:r>
    </w:p>
    <w:p w14:paraId="23CF8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Record larval mortality.</w:t>
      </w:r>
    </w:p>
    <w:p w14:paraId="697A90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d. For adult feeding assays, place adults on whole plants, photograph leaves before and after feeding, and use image analysis software (e.g., Sigma Scan Pro5) to calculate consumed leaf area.</w:t>
      </w:r>
    </w:p>
    <w:p w14:paraId="693822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Tissue Sampling: At time points, dissect larvae to collect midgut and carcass tissues for subsequent molecular analysis (RNA extraction, qPCR).</w:t>
      </w:r>
    </w:p>
    <w:p w14:paraId="0AF53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 Statistical Analysis: Perform statistical analysis (e.g., one-way ANOVA) on weight gain, mortality, and leaf consumption data.</w:t>
      </w:r>
    </w:p>
    <w:p w14:paraId="138FB3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C7015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materials and equipment:</w:t>
      </w:r>
    </w:p>
    <w:p w14:paraId="71460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Synchronized CPB eggs and neonates</w:t>
      </w:r>
    </w:p>
    <w:p w14:paraId="1A0C3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Wild-type, transplastomic, and nuclear transgenic potato plants (2-month-old)</w:t>
      </w:r>
    </w:p>
    <w:p w14:paraId="5F2429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Containers for rearing larvae on detached leaves</w:t>
      </w:r>
    </w:p>
    <w:p w14:paraId="684A14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Precision balance</w:t>
      </w:r>
    </w:p>
    <w:p w14:paraId="7D007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Camera and image analysis software (for leaf area measurement)</w:t>
      </w:r>
    </w:p>
    <w:p w14:paraId="4F056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Dissection tools and ice-cold Schneider’s insect medium for tissue collection</w:t>
      </w:r>
    </w:p>
    <w:p w14:paraId="14CF7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13D6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Controls_and_validation:</w:t>
      </w:r>
    </w:p>
    <w:p w14:paraId="1E060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Larvae fed on wild-type potato plants serve as the negative control for baseline growth and survival.</w:t>
      </w:r>
    </w:p>
    <w:p w14:paraId="4E6894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Larvae fed on nuclear transgenic plants (nuHP) expressing the same hairpin dsRNA serve as a comparative control to assess the superior efficacy of chloroplast expression.</w:t>
      </w:r>
    </w:p>
    <w:p w14:paraId="6617EF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Biological and technical replicates are essential for statistical robustness.</w:t>
      </w:r>
    </w:p>
    <w:p w14:paraId="0D30B1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C0FCA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</w:t>
      </w:r>
    </w:p>
    <w:p w14:paraId="0626F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Using detached leaves simplifies daily leaf replacement and measurement but may differ slightly from whole-plant feeding.</w:t>
      </w:r>
    </w:p>
    <w:p w14:paraId="07C9C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Synchronization of larvae is critical for obtaining interpretable growth data.</w:t>
      </w:r>
    </w:p>
    <w:p w14:paraId="6195E2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assay tests both acute toxicity (mortality) and chronic sublethal effects (growth retardation).</w:t>
      </w:r>
      <w:bookmarkStart w:id="0" w:name="_GoBack"/>
      <w:bookmarkEnd w:id="0"/>
    </w:p>
    <w:p w14:paraId="206E7E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{}</w:t>
      </w:r>
    </w:p>
    <w:p w14:paraId="46283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0AA7D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Sub-protocol 5: Topical dsRNA Delivery via Leaf Painting Assay</w:t>
      </w:r>
    </w:p>
    <w:p w14:paraId="6790F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**[PROTOCOL_STAGE=IN_VIVO_DELIVERY_FEEDING]**</w:t>
      </w:r>
    </w:p>
    <w:p w14:paraId="07B0F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F500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Applicable when:</w:t>
      </w:r>
    </w:p>
    <w:p w14:paraId="0B9BE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Directly testing the bioactivity of in vitro synthesized dsRNA on insect larvae by applying it topically to the surface of plant leaves, bypassing transgenic plant generation.</w:t>
      </w:r>
    </w:p>
    <w:p w14:paraId="6FD2C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AB7B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Purpose:</w:t>
      </w:r>
    </w:p>
    <w:p w14:paraId="4484D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 establish a dose-response relationship for dsRNA toxicity and serve as a direct positive control for the active ingredient (dsRNA) used in transgenic plants.</w:t>
      </w:r>
    </w:p>
    <w:p w14:paraId="5CD02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1530C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Procedure:</w:t>
      </w:r>
    </w:p>
    <w:p w14:paraId="6C5CA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 dsRNA Synthesis: Synthesize target-specific dsRNA (e.g., ACT, SHR) and control dsRNA (e.g., GFP) in vitro using a T7 RNA polymerase system (e.g., T7 RiboMAX).</w:t>
      </w:r>
    </w:p>
    <w:p w14:paraId="5DD09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 Leaf Preparation: Arrange fresh, wild-type potato leaflets to form a defined surface area (e.g., ~23 cm² circle).</w:t>
      </w:r>
    </w:p>
    <w:p w14:paraId="517CB1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 dsRNA Application (Painting):</w:t>
      </w:r>
    </w:p>
    <w:p w14:paraId="21461A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Dilute the in vitro synthesized dsRNA in water.</w:t>
      </w:r>
    </w:p>
    <w:p w14:paraId="06B5F6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Using a brush or pipette tip, evenly paint the dsRNA solution onto the upper surface of the leaflets to achieve a specific surface concentration (e.g., 4, 8, 16 ng/cm²). Allow to air dry.</w:t>
      </w:r>
    </w:p>
    <w:p w14:paraId="114859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 Insect Setup:</w:t>
      </w:r>
    </w:p>
    <w:p w14:paraId="57AB4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Weigh second instar CPB larvae.</w:t>
      </w:r>
    </w:p>
    <w:p w14:paraId="112CB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Divide larvae into groups of 10-20 per biological replicate (3 replicates per dsRNA concentration).</w:t>
      </w:r>
    </w:p>
    <w:p w14:paraId="7AC58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Place each group of larvae on the dsRNA-painted leaves.</w:t>
      </w:r>
    </w:p>
    <w:p w14:paraId="62BA7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Maintenance and Monitoring:</w:t>
      </w:r>
    </w:p>
    <w:p w14:paraId="18AE3D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a. Replace the dsRNA-painted leaves with freshly painted leaves every 24 hours.</w:t>
      </w:r>
    </w:p>
    <w:p w14:paraId="26697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b. Weigh larvae at defined intervals (e.g., 0, 3, 5, 7, 9 days).</w:t>
      </w:r>
    </w:p>
    <w:p w14:paraId="5AB88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c. Record mortality.</w:t>
      </w:r>
    </w:p>
    <w:p w14:paraId="38AC7A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 Data Analysis: Calculate larval weight gain and mortality for each dsRNA concentration and the GFP-dsRNA control.</w:t>
      </w:r>
    </w:p>
    <w:p w14:paraId="62045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6BCC1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 materials and equipment:</w:t>
      </w:r>
    </w:p>
    <w:p w14:paraId="1EA7DE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In vitro synthesized dsRNA (target and control)</w:t>
      </w:r>
    </w:p>
    <w:p w14:paraId="3EF24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Wild-type potato leaves</w:t>
      </w:r>
    </w:p>
    <w:p w14:paraId="2E32C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Fine brush or pipettes for painting</w:t>
      </w:r>
    </w:p>
    <w:p w14:paraId="4ACFE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Containers for holding larvae and leaves</w:t>
      </w:r>
    </w:p>
    <w:p w14:paraId="5871E8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Precision balance</w:t>
      </w:r>
    </w:p>
    <w:p w14:paraId="0E7DA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Second instar CPB larvae</w:t>
      </w:r>
    </w:p>
    <w:p w14:paraId="221E0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2C909A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Controls_and_validation:</w:t>
      </w:r>
    </w:p>
    <w:p w14:paraId="34A43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Larvae fed on leaves painted with GFP-dsRNA serve as a negative control for sequence-specific effects.</w:t>
      </w:r>
    </w:p>
    <w:p w14:paraId="0BC21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Testing multiple concentrations allows for the determination of an effective dose.</w:t>
      </w:r>
    </w:p>
    <w:p w14:paraId="6A307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This assay directly validates that the chosen dsRNA sequence is bioactive when ingested.</w:t>
      </w:r>
    </w:p>
    <w:p w14:paraId="6E9FE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</w:t>
      </w:r>
    </w:p>
    <w:p w14:paraId="3D05FD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Notes</w:t>
      </w:r>
    </w:p>
    <w:p w14:paraId="782576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Uniform painting is important for consistent dosing.</w:t>
      </w:r>
    </w:p>
    <w:p w14:paraId="698E4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The need for daily re-application suggests dsRNA may degrade or be washed off.</w:t>
      </w:r>
    </w:p>
    <w:p w14:paraId="468711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This is a laboratory bioassay and may not reflect field persistence.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27C24E">
    <w:pPr>
      <w:pStyle w:val="3"/>
      <w:spacing w:line="182" w:lineRule="auto"/>
      <w:jc w:val="right"/>
      <w:rPr>
        <w:sz w:val="19"/>
        <w:szCs w:val="19"/>
      </w:rPr>
    </w:pPr>
    <w:r>
      <w:rPr>
        <w:spacing w:val="-7"/>
        <w:sz w:val="19"/>
        <w:szCs w:val="19"/>
      </w:rPr>
      <w:t>12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51DA3"/>
    <w:rsid w:val="04305BEE"/>
    <w:rsid w:val="261D6994"/>
    <w:rsid w:val="30274161"/>
    <w:rsid w:val="5E5A37FE"/>
    <w:rsid w:val="6D737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3467</Words>
  <Characters>19572</Characters>
  <Lines>0</Lines>
  <Paragraphs>0</Paragraphs>
  <TotalTime>19</TotalTime>
  <ScaleCrop>false</ScaleCrop>
  <LinksUpToDate>false</LinksUpToDate>
  <CharactersWithSpaces>23017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2026-01-19T02:11:00Z</dcterms:created>
  <dc:creator>DELL</dc:creator>
  <cp:lastModifiedBy>李宗桓</cp:lastModifiedBy>
  <dcterms:modified xsi:type="dcterms:W3CDTF">2026-01-20T03:33:11Z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46DE181D406A4AED98523269DEB4ADA1_12</vt:lpwstr>
  </property>
</Properties>
</file>