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F3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49468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3A22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Nano-delivery platform with strong protection and efficient delivery</w:t>
      </w:r>
    </w:p>
    <w:p w14:paraId="764C6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Preparation of self-assembled RNA pesticide with dual RNAi targets against Apolygus lucorum</w:t>
      </w:r>
    </w:p>
    <w:p w14:paraId="2922C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Source: Journal of Nanobiotechnology (2025)</w:t>
      </w:r>
    </w:p>
    <w:p w14:paraId="0A7D5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DOI: 10.1186/s12951-025-03155-x</w:t>
      </w:r>
    </w:p>
    <w:p w14:paraId="5CE2B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Study_type: Nanocarrier formulation, multi-target RNAi, delivery system optimization</w:t>
      </w:r>
    </w:p>
    <w:p w14:paraId="788E6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Usage_note</w:t>
      </w:r>
    </w:p>
    <w:p w14:paraId="59563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document is intended for experimental workflow guidance and protocol-level reasoning.</w:t>
      </w:r>
    </w:p>
    <w:p w14:paraId="32742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Numerical parameters and optimization details should be adapted to specific experimental contexts.</w:t>
      </w:r>
    </w:p>
    <w:p w14:paraId="789F7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9E76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Metadata</w:t>
      </w:r>
    </w:p>
    <w:p w14:paraId="7AA6E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Source: Journal of Nanobiotechnology 2025</w:t>
      </w:r>
    </w:p>
    <w:p w14:paraId="3A6BE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DOI: 10.1186/s12951-025-03155-x</w:t>
      </w:r>
    </w:p>
    <w:p w14:paraId="3CE14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Scope: Engineering a star-shaped cationic polymer (SPc) as a multifunctional nanocarrier for a bacterially produced dual-target dsRNA pesticide against Apolygus lucorum.</w:t>
      </w:r>
    </w:p>
    <w:p w14:paraId="067D0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Organism: Apolygus lucorum</w:t>
      </w:r>
    </w:p>
    <w:p w14:paraId="466CA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Developmental_stage: Third and fourth instar nymphs</w:t>
      </w:r>
    </w:p>
    <w:p w14:paraId="67EBE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Delivery_mode: Topical application, foliar spray</w:t>
      </w:r>
    </w:p>
    <w:p w14:paraId="003AE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Molecule_or_intervention_type: dsRNA targeting AlECR-A and AlTre-1, star polycation (SPc)</w:t>
      </w:r>
    </w:p>
    <w:p w14:paraId="3A26D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Application_context: Laboratory bioassays, microscopy, in vitro characterization</w:t>
      </w:r>
    </w:p>
    <w:p w14:paraId="22E2F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Validation_level: Multi-level nanoparticle characterization, stability, uptake, molecular knockdown, phenotypic outcomes</w:t>
      </w:r>
    </w:p>
    <w:p w14:paraId="32AC9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Target_gene_or_pathway: AlECR-A, AlTre-1</w:t>
      </w:r>
    </w:p>
    <w:p w14:paraId="71017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5220F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14EF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1: Synthesis and basic characterization of star polycation (SPc)</w:t>
      </w:r>
    </w:p>
    <w:p w14:paraId="6E06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PROTOCOL_STAGE=FORMULATION_PREPARATION</w:t>
      </w:r>
    </w:p>
    <w:p w14:paraId="5B7EC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5354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58BAD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Designing and synthesizing a cationic star-shaped polymer nanocarrier for electrostatic complexation with dsRNA.</w:t>
      </w:r>
    </w:p>
    <w:p w14:paraId="316F0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370F0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produce a multi-armed star polycation with high charge density capable of compacting and protecting dsRNA for topical and spray-based RNAi delivery.</w:t>
      </w:r>
    </w:p>
    <w:p w14:paraId="713D8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6056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51663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Synthesize a tetrafunctional initiator by reacting pentaerythritol with 2-bromo-2-methylpropionyl bromide in anhydrous THF under ice-bath conditions.</w:t>
      </w:r>
    </w:p>
    <w:p w14:paraId="37127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Allow reaction to proceed for 24 hours at 0 °C, quench with methanol, and purify by recrystallization to obtain Pt-Br.</w:t>
      </w:r>
    </w:p>
    <w:p w14:paraId="3173B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Conduct ATRP polymerization using Pt-Br and DMAEMA with CuBr and PMDETA under nitrogen at 60 °C for 7 hours.</w:t>
      </w:r>
    </w:p>
    <w:p w14:paraId="0293C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Terminate polymerization by air exposure and purify the SPc polymer by dialysis or precipitation.</w:t>
      </w:r>
    </w:p>
    <w:p w14:paraId="0BD7B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Measure hydrodynamic size and polydispersity using DLS and confirm positive surface charge via zeta potential analysis.</w:t>
      </w:r>
    </w:p>
    <w:p w14:paraId="5D3A0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3ECD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Key_materials_and_equipment</w:t>
      </w:r>
    </w:p>
    <w:p w14:paraId="1C5FA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DMAEMA, CuBr, PMDETA, anhydrous THF</w:t>
      </w:r>
    </w:p>
    <w:p w14:paraId="5E7F0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Nitrogen protection system</w:t>
      </w:r>
    </w:p>
    <w:p w14:paraId="533FF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DLS and zeta potential analyzer</w:t>
      </w:r>
    </w:p>
    <w:p w14:paraId="19D23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5D06F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Controlled ATRP ensures defined polymer architecture.</w:t>
      </w:r>
    </w:p>
    <w:p w14:paraId="34E27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Positive zeta potential confirms suitability for dsRNA binding.</w:t>
      </w:r>
    </w:p>
    <w:p w14:paraId="3758F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10E11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8CB2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2A: Formation of dsRNA/SPc complexes and binding capacity evaluation</w:t>
      </w:r>
    </w:p>
    <w:p w14:paraId="5FAEF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PROTOCOL_STAGE=FORMULATION_PREPARATION</w:t>
      </w:r>
    </w:p>
    <w:p w14:paraId="70541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ED86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7AE5F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Determining whether SPc can fully bind and condense dsRNA into stable electrostatic complexes.</w:t>
      </w:r>
    </w:p>
    <w:p w14:paraId="220D8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377B6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identify the minimal SPc-to-dsRNA ratio required for complete complexation.</w:t>
      </w:r>
    </w:p>
    <w:p w14:paraId="2531D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1F23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3BD4C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Prepare dsRNA and SPc at a series of mass ratios.</w:t>
      </w:r>
    </w:p>
    <w:p w14:paraId="01858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Incubate mixtures at room temperature for 15 minutes.</w:t>
      </w:r>
    </w:p>
    <w:p w14:paraId="2390C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Perform agarose gel retardation assay to assess binding.</w:t>
      </w:r>
    </w:p>
    <w:p w14:paraId="6B71D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Confirm complete complexation when dsRNA migration is fully retarded.</w:t>
      </w:r>
    </w:p>
    <w:p w14:paraId="5B351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Optional_extension</w:t>
      </w:r>
    </w:p>
    <w:p w14:paraId="7E0EA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Isothermal titration calorimetry may be used to quantify binding affinity and interaction thermodynamics.</w:t>
      </w:r>
    </w:p>
    <w:p w14:paraId="120CC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4A12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320FB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Loss of free dsRNA bands indicates effective charge neutralization.</w:t>
      </w:r>
    </w:p>
    <w:p w14:paraId="07B08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ITC data confirm electrostatic-driven self-assembly.</w:t>
      </w:r>
    </w:p>
    <w:p w14:paraId="4BA1D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304BA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ECD7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2B: Physicochemical characterization of dsRNA/SPc nanoparticles</w:t>
      </w:r>
    </w:p>
    <w:p w14:paraId="3BE4C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PROTOCOL_STAGE=FORMULATION_PREPARATION</w:t>
      </w:r>
    </w:p>
    <w:p w14:paraId="4FEAA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4472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2809E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Defining nanoscale properties of the dsRNA/SPc delivery vehicle.</w:t>
      </w:r>
    </w:p>
    <w:p w14:paraId="065AD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588B6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characterize size, surface charge, and morphology of self-assembled complexes.</w:t>
      </w:r>
    </w:p>
    <w:p w14:paraId="78616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0EEB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076C6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Visualize nanoparticle morphology by transmission electron microscopy using negative staining.</w:t>
      </w:r>
    </w:p>
    <w:p w14:paraId="6ACAA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Confirm particle structure by atomic force microscopy on mica surfaces.</w:t>
      </w:r>
    </w:p>
    <w:p w14:paraId="37BD6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Measure hydrodynamic diameter, PDI, and zeta potential using DLS.</w:t>
      </w:r>
    </w:p>
    <w:p w14:paraId="6F1E5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10E4F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Spherical morphology and size uniformity indicate stable self-assembly.</w:t>
      </w:r>
    </w:p>
    <w:p w14:paraId="37895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Positive surface charge supports interaction with insect cuticle and plant surfaces.</w:t>
      </w:r>
    </w:p>
    <w:p w14:paraId="0E26C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73CE0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F639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3A: Enzymatic stability of dsRNA/SPc complexes</w:t>
      </w:r>
    </w:p>
    <w:p w14:paraId="5CD7F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PROTOCOL_STAGE=RNA_QUALITY_CONTROL</w:t>
      </w:r>
    </w:p>
    <w:p w14:paraId="3469C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DF36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222F8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Evaluating resistance of dsRNA formulations to biological nucleases.</w:t>
      </w:r>
    </w:p>
    <w:p w14:paraId="78FAC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1908C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demonstrate protection against insect gut nucleases and RNase A.</w:t>
      </w:r>
    </w:p>
    <w:p w14:paraId="39A67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D7F0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616C6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Prepare midgut fluid from Apolygus lucorum nymphs.</w:t>
      </w:r>
    </w:p>
    <w:p w14:paraId="33461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Determine dilution that fully degrades naked dsRNA.</w:t>
      </w:r>
    </w:p>
    <w:p w14:paraId="01787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Incubate dsRNA/SPc complexes with gut fluid or RNase A.</w:t>
      </w:r>
    </w:p>
    <w:p w14:paraId="54B25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Dissociate complexes using SDS and analyze dsRNA integrity by agarose gel electrophoresis.</w:t>
      </w:r>
    </w:p>
    <w:p w14:paraId="588D5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54D25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Protected dsRNA remains intact following nuclease challenge.</w:t>
      </w:r>
    </w:p>
    <w:p w14:paraId="451BA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Naked dsRNA serves as degradation control.</w:t>
      </w:r>
    </w:p>
    <w:p w14:paraId="71B58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64618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88BF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3B: Physicochemical stability under pH and thermal stress</w:t>
      </w:r>
    </w:p>
    <w:p w14:paraId="52B32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PROTOCOL_STAGE=RNA_QUALITY_CONTROL</w:t>
      </w:r>
    </w:p>
    <w:p w14:paraId="28ACB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7287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147F1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Assessing environmental robustness of dsRNA formulations.</w:t>
      </w:r>
    </w:p>
    <w:p w14:paraId="3EE65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CC62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0C9E0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evaluate resistance to extreme pH and elevated temperature conditions.</w:t>
      </w:r>
    </w:p>
    <w:p w14:paraId="5584E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B729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50D03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Incubate dsRNA/SPc complexes across a wide pH range.</w:t>
      </w:r>
    </w:p>
    <w:p w14:paraId="16CB8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Expose complexes to multiple temperatures between 4 and 45 °C.</w:t>
      </w:r>
    </w:p>
    <w:p w14:paraId="3E70E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Dissociate complexes and assess dsRNA integrity by gel electrophoresis.</w:t>
      </w:r>
    </w:p>
    <w:p w14:paraId="22F27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DEBD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5A84A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Integrity under stress conditions indicates formulation durability.</w:t>
      </w:r>
    </w:p>
    <w:p w14:paraId="4919D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5075B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EB64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3C: Functional stability validation via cellular uptake</w:t>
      </w:r>
    </w:p>
    <w:p w14:paraId="5FD38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50C6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PROTOCOL_STAGE=RNA_QUALITY_CONTROL</w:t>
      </w:r>
    </w:p>
    <w:p w14:paraId="75D2E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E391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34413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Confirming that chemically protected dsRNA retains biological delivery function.</w:t>
      </w:r>
    </w:p>
    <w:p w14:paraId="2DB0A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13E6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46EF1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validate that protection does not impair cellular uptake.</w:t>
      </w:r>
    </w:p>
    <w:p w14:paraId="65BDC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7F2A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6224F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Pre-incubate Cy3-labeled dsRNA/SPc complexes under extreme pH conditions.</w:t>
      </w:r>
    </w:p>
    <w:p w14:paraId="37925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Neutralize formulations and apply to cultured cells.</w:t>
      </w:r>
    </w:p>
    <w:p w14:paraId="48D02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 intracellular fluorescence following incubation.</w:t>
      </w:r>
    </w:p>
    <w:p w14:paraId="10CFE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74B9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366DB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Retention of intracellular fluorescence confirms functional delivery competence.</w:t>
      </w:r>
    </w:p>
    <w:p w14:paraId="2D585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41B0D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B213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4A: Insect cuticle penetration by topical application</w:t>
      </w:r>
    </w:p>
    <w:p w14:paraId="517FB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PROTOCOL_STAGE=PHENOTYPE_OBSERVATION</w:t>
      </w:r>
    </w:p>
    <w:p w14:paraId="7C805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54FE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1E5B1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Evaluating nanoparticle-mediated trans-cuticular delivery.</w:t>
      </w:r>
    </w:p>
    <w:p w14:paraId="467C9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441B1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visualize and quantify dsRNA penetration through the insect cuticle.</w:t>
      </w:r>
    </w:p>
    <w:p w14:paraId="5D2A1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B99A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28820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Apply nanodroplets of Cy3-dsRNA/SPc complexes to the insect notum.</w:t>
      </w:r>
    </w:p>
    <w:p w14:paraId="02B7C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Wash insects and image whole bodies and cryosections.</w:t>
      </w:r>
    </w:p>
    <w:p w14:paraId="3C0D5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Quantify fluorescence intensity.</w:t>
      </w:r>
    </w:p>
    <w:p w14:paraId="48E28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55E10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Enhanced internal fluorescence indicates improved cuticle penetration.</w:t>
      </w:r>
    </w:p>
    <w:p w14:paraId="0FBE5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613A6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43C2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4B: Absolute quantification of dsRNA uptake by qPCR</w:t>
      </w:r>
    </w:p>
    <w:p w14:paraId="1760F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PROTOCOL_STAGE=PHENOTYPE_OBSERVATION</w:t>
      </w:r>
    </w:p>
    <w:p w14:paraId="44F68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8382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49E7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Quantitative measurement of internalized dsRNA is required.</w:t>
      </w:r>
    </w:p>
    <w:p w14:paraId="18259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16FFB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obtain absolute dsRNA uptake values using molecular quantification.</w:t>
      </w:r>
    </w:p>
    <w:p w14:paraId="506D2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A6D1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6D7E1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Apply dsRNA formulations to insects.</w:t>
      </w:r>
    </w:p>
    <w:p w14:paraId="3F707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Extract total RNA and perform qPCR using dsRNA-derived standard curves.</w:t>
      </w:r>
    </w:p>
    <w:p w14:paraId="15188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07A40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qPCR provides sequence-specific absolute uptake measurement.</w:t>
      </w:r>
    </w:p>
    <w:p w14:paraId="79089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29568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82C4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4C: Plant surface penetration and oral exposure pathway</w:t>
      </w:r>
    </w:p>
    <w:p w14:paraId="60DAD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PROTOCOL_STAGE=PHENOTYPE_OBSERVATION</w:t>
      </w:r>
    </w:p>
    <w:p w14:paraId="38BBD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A1DF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44E72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Assessing plant-mediated delivery routes.</w:t>
      </w:r>
    </w:p>
    <w:p w14:paraId="204E1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1AC23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evaluate dsRNA penetration into plant tissues and subsequent insect uptake.</w:t>
      </w:r>
    </w:p>
    <w:p w14:paraId="30333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CA08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45627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Apply dsRNA formulations to plant surfaces.</w:t>
      </w:r>
    </w:p>
    <w:p w14:paraId="37968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 transverse plant sections to assess penetration.</w:t>
      </w:r>
    </w:p>
    <w:p w14:paraId="4A3BE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Transfer insects to treated plants and image uptake.</w:t>
      </w:r>
    </w:p>
    <w:p w14:paraId="0ED49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0A1B1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Cross-sectional fluorescence confirms plant penetration.</w:t>
      </w:r>
    </w:p>
    <w:p w14:paraId="3FE93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Insect fluorescence confirms oral exposure route.</w:t>
      </w:r>
    </w:p>
    <w:p w14:paraId="640CE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7B196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BDD2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5A: Bacterial production of dual-target dsRNA</w:t>
      </w:r>
    </w:p>
    <w:p w14:paraId="49C18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PROTOCOL_STAGE=DSRNA_SYNTHESIS</w:t>
      </w:r>
    </w:p>
    <w:p w14:paraId="2F767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1E5B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48497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Cost-effective production of long multi-target dsRNA is required.</w:t>
      </w:r>
    </w:p>
    <w:p w14:paraId="7CFA7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78176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express dual-gene dsRNA in RNase III-deficient Escherichia coli.</w:t>
      </w:r>
    </w:p>
    <w:p w14:paraId="45908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E728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380D4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Assemble dual-target cassette in pET-28a.</w:t>
      </w:r>
    </w:p>
    <w:p w14:paraId="715E0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Transform construct into BL21(DE3) RNase III-deficient strain.</w:t>
      </w:r>
    </w:p>
    <w:p w14:paraId="536B5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Induce expression with IPTG.</w:t>
      </w:r>
    </w:p>
    <w:p w14:paraId="06597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Extract total RNA and purify dsRNA.</w:t>
      </w:r>
    </w:p>
    <w:p w14:paraId="7C07F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Validation_logic</w:t>
      </w:r>
    </w:p>
    <w:p w14:paraId="43DE3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RNase III deficiency prevents intracellular dsRNA degradation.</w:t>
      </w:r>
    </w:p>
    <w:p w14:paraId="5F896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Sequencing confirms construct integrity.</w:t>
      </w:r>
    </w:p>
    <w:p w14:paraId="5EAC9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0FE6D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19C9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5B: Formulation and bioefficacy assessment of dual-target dsRNA</w:t>
      </w:r>
    </w:p>
    <w:p w14:paraId="0B29F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PROTOCOL_STAGE=BIOASSAY_VALIDATION</w:t>
      </w:r>
    </w:p>
    <w:p w14:paraId="67106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963F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Applicable_when</w:t>
      </w:r>
    </w:p>
    <w:p w14:paraId="26E8F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Evaluating functional RNAi efficacy of formulated dsRNA.</w:t>
      </w:r>
    </w:p>
    <w:p w14:paraId="1980B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5C2DB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assess gene silencing efficiency and insect mortality.</w:t>
      </w:r>
    </w:p>
    <w:p w14:paraId="6EADD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1E9F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Core_procedure</w:t>
      </w:r>
    </w:p>
    <w:p w14:paraId="02E01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Formulate dsRNA with SPc.</w:t>
      </w:r>
    </w:p>
    <w:p w14:paraId="5A0C2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Apply formulations via topical application or foliar spray.</w:t>
      </w:r>
    </w:p>
    <w:p w14:paraId="2AB6F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Measure target gene knockdown by RT-qPCR.</w:t>
      </w:r>
    </w:p>
    <w:p w14:paraId="5D2B9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Record insect mortality over time.</w:t>
      </w:r>
    </w:p>
    <w:p w14:paraId="11B8D4EE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Validation_logic</w:t>
      </w:r>
    </w:p>
    <w:p w14:paraId="72444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Molecular knockdown precedes phenotypic effects.</w:t>
      </w:r>
    </w:p>
    <w:p w14:paraId="42D2B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Multi-control experimental design isolates carrier and target contributions.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83DFC"/>
    <w:rsid w:val="16222ECE"/>
    <w:rsid w:val="42A0368B"/>
    <w:rsid w:val="60F9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2927</Words>
  <Characters>17603</Characters>
  <Lines>0</Lines>
  <Paragraphs>0</Paragraphs>
  <TotalTime>21</TotalTime>
  <ScaleCrop>false</ScaleCrop>
  <LinksUpToDate>false</LinksUpToDate>
  <CharactersWithSpaces>20562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2026-01-19T03:30:00Z</dcterms:created>
  <dc:creator>DELL</dc:creator>
  <cp:lastModifiedBy>李宗桓</cp:lastModifiedBy>
  <dcterms:modified xsi:type="dcterms:W3CDTF">2026-01-20T06:41:06Z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3AA643ACFE624DE3A0EDC835A635004B_12</vt:lpwstr>
  </property>
</Properties>
</file>