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152C2F">
      <w:pPr>
        <w:rPr>
          <w:rFonts w:hint="default"/>
        </w:rPr>
      </w:pPr>
      <w:r>
        <w:rPr>
          <w:rFonts w:hint="default"/>
        </w:rPr>
        <w:t>{}</w:t>
      </w:r>
    </w:p>
    <w:p w14:paraId="70A7B97C">
      <w:pPr>
        <w:rPr>
          <w:rFonts w:hint="default"/>
        </w:rPr>
      </w:pPr>
      <w:r>
        <w:rPr>
          <w:rFonts w:hint="default"/>
        </w:rPr>
        <w:t>$</w:t>
      </w:r>
    </w:p>
    <w:p w14:paraId="2737E4EE">
      <w:pPr>
        <w:rPr>
          <w:rFonts w:hint="default"/>
        </w:rPr>
      </w:pPr>
      <w:r>
        <w:rPr>
          <w:rFonts w:hint="default"/>
        </w:rPr>
        <w:t>Title: RNA Interference towards the Potato Psyllid, Bactericera cockerelli, Is Induced in Plants Infected with Recombinant Tobacco mosaic virus (TMV)</w:t>
      </w:r>
    </w:p>
    <w:p w14:paraId="2051738E">
      <w:pPr>
        <w:rPr>
          <w:rFonts w:hint="default"/>
        </w:rPr>
      </w:pPr>
      <w:r>
        <w:rPr>
          <w:rFonts w:hint="default"/>
        </w:rPr>
        <w:t>Source: PLOS ONE</w:t>
      </w:r>
    </w:p>
    <w:p w14:paraId="06D7EE82">
      <w:pPr>
        <w:rPr>
          <w:rFonts w:hint="default"/>
        </w:rPr>
      </w:pPr>
      <w:r>
        <w:rPr>
          <w:rFonts w:hint="default"/>
        </w:rPr>
        <w:t>DOI: 10.1371/journal.pone.0066050</w:t>
      </w:r>
    </w:p>
    <w:p w14:paraId="5D7C7CE3">
      <w:pPr>
        <w:rPr>
          <w:rFonts w:hint="default"/>
        </w:rPr>
      </w:pPr>
      <w:r>
        <w:rPr>
          <w:rFonts w:hint="default"/>
        </w:rPr>
        <w:t>Year: 2013</w:t>
      </w:r>
    </w:p>
    <w:p w14:paraId="55F71EF7">
      <w:pPr>
        <w:rPr>
          <w:rFonts w:hint="default"/>
        </w:rPr>
      </w:pPr>
      <w:r>
        <w:rPr>
          <w:rFonts w:hint="default"/>
        </w:rPr>
        <w:t>$</w:t>
      </w:r>
    </w:p>
    <w:p w14:paraId="20CDBBBE">
      <w:pPr>
        <w:rPr>
          <w:rFonts w:hint="default"/>
        </w:rPr>
      </w:pPr>
      <w:r>
        <w:rPr>
          <w:rFonts w:hint="default"/>
        </w:rPr>
        <w:t>Metadata:</w:t>
      </w:r>
    </w:p>
    <w:p w14:paraId="4A447026">
      <w:pPr>
        <w:rPr>
          <w:rFonts w:hint="default"/>
        </w:rPr>
      </w:pPr>
      <w:r>
        <w:rPr>
          <w:rFonts w:hint="default"/>
        </w:rPr>
        <w:t>- Source: PLOS ONE</w:t>
      </w:r>
    </w:p>
    <w:p w14:paraId="72AE0298">
      <w:pPr>
        <w:rPr>
          <w:rFonts w:hint="default"/>
        </w:rPr>
      </w:pPr>
      <w:r>
        <w:rPr>
          <w:rFonts w:hint="default"/>
        </w:rPr>
        <w:t>- DOI: 10.1371/journal.pone.0066050</w:t>
      </w:r>
    </w:p>
    <w:p w14:paraId="141CD08A">
      <w:pPr>
        <w:rPr>
          <w:rFonts w:hint="default"/>
        </w:rPr>
      </w:pPr>
      <w:r>
        <w:rPr>
          <w:rFonts w:hint="default"/>
        </w:rPr>
        <w:t>- Year: 2013</w:t>
      </w:r>
    </w:p>
    <w:p w14:paraId="473C3B1F">
      <w:pPr>
        <w:rPr>
          <w:rFonts w:hint="default"/>
        </w:rPr>
      </w:pPr>
      <w:r>
        <w:rPr>
          <w:rFonts w:hint="default"/>
        </w:rPr>
        <w:t>- Journal: PLOS ONE</w:t>
      </w:r>
    </w:p>
    <w:p w14:paraId="746DD1DC">
      <w:pPr>
        <w:rPr>
          <w:rFonts w:hint="default"/>
        </w:rPr>
      </w:pPr>
      <w:r>
        <w:rPr>
          <w:rFonts w:hint="default"/>
        </w:rPr>
        <w:t>- Scope: Plant virus-mediated delivery and screening methodology</w:t>
      </w:r>
    </w:p>
    <w:p w14:paraId="7B45202A">
      <w:pPr>
        <w:rPr>
          <w:rFonts w:hint="default"/>
        </w:rPr>
      </w:pPr>
      <w:r>
        <w:rPr>
          <w:rFonts w:hint="default"/>
        </w:rPr>
        <w:t>- Study_type: Experimental methodology</w:t>
      </w:r>
    </w:p>
    <w:p w14:paraId="464F7E69">
      <w:pPr>
        <w:rPr>
          <w:rFonts w:hint="default"/>
        </w:rPr>
      </w:pPr>
      <w:r>
        <w:rPr>
          <w:rFonts w:hint="default"/>
        </w:rPr>
        <w:t>- Target_context: Inducing RNAi in a phloem-feeding insect via virus-infected host plants.</w:t>
      </w:r>
    </w:p>
    <w:p w14:paraId="737CE2AD">
      <w:pPr>
        <w:rPr>
          <w:rFonts w:hint="default"/>
        </w:rPr>
      </w:pPr>
      <w:r>
        <w:rPr>
          <w:rFonts w:hint="default"/>
        </w:rPr>
        <w:t>- Organism_or_system: Bactericera cockerelli (potato/tomato psyllid); Plant hosts: Nicotiana benthamiana, Solanum lycopersicum (tomato), Physalis philadelphica (tomatillo), Nicotiana tabacum (tobacco).</w:t>
      </w:r>
    </w:p>
    <w:p w14:paraId="0DDA874F">
      <w:pPr>
        <w:rPr>
          <w:rFonts w:hint="default"/>
        </w:rPr>
      </w:pPr>
      <w:r>
        <w:rPr>
          <w:rFonts w:hint="default"/>
        </w:rPr>
        <w:t>- Developmental_stage: Insect: Teneral adults and synchronous nymphs; Plants: Various growth stages (e.g., 3-4 leaf stage for N. benthamiana inoculation).</w:t>
      </w:r>
    </w:p>
    <w:p w14:paraId="4B562828">
      <w:pPr>
        <w:rPr>
          <w:rFonts w:hint="default"/>
        </w:rPr>
      </w:pPr>
      <w:r>
        <w:rPr>
          <w:rFonts w:hint="default"/>
        </w:rPr>
        <w:t>- Delivery_mode: Host plant-mediated delivery via recombinant plant viruses (Virus-Induced Gene Silencing - VIGS), specifically Tobacco mosaic virus (TMV).</w:t>
      </w:r>
    </w:p>
    <w:p w14:paraId="2AE1DC0E">
      <w:pPr>
        <w:rPr>
          <w:rFonts w:hint="default"/>
        </w:rPr>
      </w:pPr>
      <w:r>
        <w:rPr>
          <w:rFonts w:hint="default"/>
        </w:rPr>
        <w:t>- Molecule_or_intervention_type: Recombinant TMV expressing double-stranded/siRNA precursors targeting insect genes (actin, V-ATPase).</w:t>
      </w:r>
    </w:p>
    <w:p w14:paraId="724F672D">
      <w:pPr>
        <w:rPr>
          <w:rFonts w:hint="default"/>
        </w:rPr>
      </w:pPr>
      <w:r>
        <w:rPr>
          <w:rFonts w:hint="default"/>
        </w:rPr>
        <w:t>- Application_context: Screening effective RNAi target sequences in planta and evaluating psyllid gene knockdown and phenotypic effects.</w:t>
      </w:r>
    </w:p>
    <w:p w14:paraId="5CAA1F74">
      <w:pPr>
        <w:rPr>
          <w:rFonts w:hint="default"/>
        </w:rPr>
      </w:pPr>
      <w:r>
        <w:rPr>
          <w:rFonts w:hint="default"/>
        </w:rPr>
        <w:t>- Validation_level: Molecular confirmation of virus infection and siRNA production in plants, qRT-PCR measurement of target gene knockdown in insects, phenotypic assessment of insect mortality and fecundity.</w:t>
      </w:r>
    </w:p>
    <w:p w14:paraId="0313D070">
      <w:pPr>
        <w:rPr>
          <w:rFonts w:hint="default"/>
        </w:rPr>
      </w:pPr>
      <w:r>
        <w:rPr>
          <w:rFonts w:hint="default"/>
        </w:rPr>
        <w:t>- Target_gene_or_pathway: Bactericera cockerelli actin (BC-Actin) and V-ATPase (BC-ATPase) genes.</w:t>
      </w:r>
    </w:p>
    <w:p w14:paraId="54C14DAC">
      <w:pPr>
        <w:rPr>
          <w:rFonts w:hint="default"/>
        </w:rPr>
      </w:pPr>
      <w:r>
        <w:rPr>
          <w:rFonts w:hint="default"/>
        </w:rPr>
        <w:t>$</w:t>
      </w:r>
    </w:p>
    <w:p w14:paraId="79D76E36">
      <w:pPr>
        <w:rPr>
          <w:rFonts w:hint="default"/>
        </w:rPr>
      </w:pPr>
      <w:r>
        <w:rPr>
          <w:rFonts w:hint="default"/>
        </w:rPr>
        <w:t>Usage_note:</w:t>
      </w:r>
    </w:p>
    <w:p w14:paraId="68586A7C">
      <w:pPr>
        <w:rPr>
          <w:rFonts w:hint="default"/>
        </w:rPr>
      </w:pPr>
      <w:r>
        <w:rPr>
          <w:rFonts w:hint="default"/>
        </w:rPr>
        <w:t>- Intended use: Protocol for using recombinant TMV to deliver RNAi effectors to phloem-feeding insects via plant hosts, and for assessing gene knockdown and biological effects.</w:t>
      </w:r>
    </w:p>
    <w:p w14:paraId="258BF15B">
      <w:pPr>
        <w:rPr>
          <w:rFonts w:hint="default"/>
        </w:rPr>
      </w:pPr>
      <w:r>
        <w:rPr>
          <w:rFonts w:hint="default"/>
        </w:rPr>
        <w:t>- Adaptation notice: The specific viral vector (TMV was effective, PVX/TRV were not robust here) and plant host species (tomatillo, tomato, tobacco) must be selected based on compatibility. Target gene sequences and corresponding qPCR primers must be designed to avoid amplification of viral transcripts.</w:t>
      </w:r>
    </w:p>
    <w:p w14:paraId="3267550A">
      <w:pPr>
        <w:rPr>
          <w:rFonts w:hint="default"/>
        </w:rPr>
      </w:pPr>
      <w:r>
        <w:rPr>
          <w:rFonts w:hint="default"/>
        </w:rPr>
        <w:t>{}</w:t>
      </w:r>
    </w:p>
    <w:p w14:paraId="583CAC86">
      <w:pPr>
        <w:rPr>
          <w:rFonts w:hint="default"/>
        </w:rPr>
      </w:pPr>
      <w:r>
        <w:rPr>
          <w:rFonts w:hint="default"/>
        </w:rPr>
        <w:t>$</w:t>
      </w:r>
    </w:p>
    <w:p w14:paraId="508D718B">
      <w:pPr>
        <w:rPr>
          <w:rFonts w:hint="default"/>
        </w:rPr>
      </w:pPr>
      <w:r>
        <w:rPr>
          <w:rFonts w:hint="default"/>
        </w:rPr>
        <w:t>Sub-protocol 1: Insect Rearing and Synchronization</w:t>
      </w:r>
    </w:p>
    <w:p w14:paraId="05833436">
      <w:pPr>
        <w:rPr>
          <w:rFonts w:hint="default"/>
        </w:rPr>
      </w:pPr>
      <w:r>
        <w:rPr>
          <w:rFonts w:hint="default"/>
        </w:rPr>
        <w:t>[PROTOCOL_STAGE=CULTURE_MAINTENANCE]</w:t>
      </w:r>
    </w:p>
    <w:p w14:paraId="1F0AC922">
      <w:pPr>
        <w:rPr>
          <w:rFonts w:hint="default"/>
        </w:rPr>
      </w:pPr>
      <w:r>
        <w:rPr>
          <w:rFonts w:hint="default"/>
        </w:rPr>
        <w:t>$</w:t>
      </w:r>
    </w:p>
    <w:p w14:paraId="4F907303">
      <w:pPr>
        <w:rPr>
          <w:rFonts w:hint="default"/>
        </w:rPr>
      </w:pPr>
      <w:r>
        <w:rPr>
          <w:rFonts w:hint="default"/>
        </w:rPr>
        <w:t>Applicable_when:</w:t>
      </w:r>
    </w:p>
    <w:p w14:paraId="600C5E6D">
      <w:pPr>
        <w:rPr>
          <w:rFonts w:hint="default"/>
        </w:rPr>
      </w:pPr>
      <w:r>
        <w:rPr>
          <w:rFonts w:hint="default"/>
        </w:rPr>
        <w:t>- Maintaining a colony of Bactericera cockerelli for feeding bioassays.</w:t>
      </w:r>
    </w:p>
    <w:p w14:paraId="4A1BBCC3">
      <w:pPr>
        <w:rPr>
          <w:rFonts w:hint="default"/>
        </w:rPr>
      </w:pPr>
      <w:r>
        <w:rPr>
          <w:rFonts w:hint="default"/>
        </w:rPr>
        <w:t>- Obtaining synchronized life stages (nymphs, teneral adults) for experiments.</w:t>
      </w:r>
    </w:p>
    <w:p w14:paraId="1CA4F3CF">
      <w:pPr>
        <w:rPr>
          <w:rFonts w:hint="default"/>
        </w:rPr>
      </w:pPr>
      <w:r>
        <w:rPr>
          <w:rFonts w:hint="default"/>
        </w:rPr>
        <w:t>$</w:t>
      </w:r>
    </w:p>
    <w:p w14:paraId="2DA81FB4">
      <w:pPr>
        <w:rPr>
          <w:rFonts w:hint="default"/>
        </w:rPr>
      </w:pPr>
      <w:r>
        <w:rPr>
          <w:rFonts w:hint="default"/>
        </w:rPr>
        <w:t>Purpose:</w:t>
      </w:r>
    </w:p>
    <w:p w14:paraId="5D5B2F8C">
      <w:pPr>
        <w:rPr>
          <w:rFonts w:hint="default"/>
        </w:rPr>
      </w:pPr>
      <w:r>
        <w:rPr>
          <w:rFonts w:hint="default"/>
        </w:rPr>
        <w:t>- To produce a consistent supply of healthy, age-synchronized B. cockerelli nymphs and adults for feeding on virus-infected plants.</w:t>
      </w:r>
    </w:p>
    <w:p w14:paraId="211DD1B4">
      <w:pPr>
        <w:rPr>
          <w:rFonts w:hint="default"/>
        </w:rPr>
      </w:pPr>
      <w:r>
        <w:rPr>
          <w:rFonts w:hint="default"/>
        </w:rPr>
        <w:t>$</w:t>
      </w:r>
    </w:p>
    <w:p w14:paraId="454F8303">
      <w:pPr>
        <w:rPr>
          <w:rFonts w:hint="default"/>
        </w:rPr>
      </w:pPr>
      <w:r>
        <w:rPr>
          <w:rFonts w:hint="default"/>
        </w:rPr>
        <w:t>Procedure:</w:t>
      </w:r>
    </w:p>
    <w:p w14:paraId="4942C1EA">
      <w:pPr>
        <w:rPr>
          <w:rFonts w:hint="default"/>
        </w:rPr>
      </w:pPr>
      <w:r>
        <w:rPr>
          <w:rFonts w:hint="default"/>
        </w:rPr>
        <w:t>1. Rear B. cockerelli on tomato plants (e.g., Solanum lycopersicum 'Early Pak 7') within mesh cages.</w:t>
      </w:r>
    </w:p>
    <w:p w14:paraId="72334DF4">
      <w:pPr>
        <w:rPr>
          <w:rFonts w:hint="default"/>
        </w:rPr>
      </w:pPr>
      <w:r>
        <w:rPr>
          <w:rFonts w:hint="default"/>
        </w:rPr>
        <w:t>2. Maintain caged insects in growth chambers at 25°C, 70% relative humidity, under a 14:10 hour light:dark photoperiod.</w:t>
      </w:r>
    </w:p>
    <w:p w14:paraId="1E75848D">
      <w:pPr>
        <w:rPr>
          <w:rFonts w:hint="default"/>
        </w:rPr>
      </w:pPr>
      <w:r>
        <w:rPr>
          <w:rFonts w:hint="default"/>
        </w:rPr>
        <w:t>3. Collect synchronous nymphs or newly molted teneral adults for use in feeding experiments.</w:t>
      </w:r>
    </w:p>
    <w:p w14:paraId="52FA5F2F">
      <w:pPr>
        <w:rPr>
          <w:rFonts w:hint="default"/>
        </w:rPr>
      </w:pPr>
      <w:r>
        <w:rPr>
          <w:rFonts w:hint="default"/>
        </w:rPr>
        <w:t>$</w:t>
      </w:r>
    </w:p>
    <w:p w14:paraId="3A6CDA9C">
      <w:pPr>
        <w:rPr>
          <w:rFonts w:hint="default"/>
        </w:rPr>
      </w:pPr>
      <w:r>
        <w:rPr>
          <w:rFonts w:hint="default"/>
        </w:rPr>
        <w:t>Key_materials_and_equipment:</w:t>
      </w:r>
    </w:p>
    <w:p w14:paraId="62317B39">
      <w:pPr>
        <w:rPr>
          <w:rFonts w:hint="default"/>
        </w:rPr>
      </w:pPr>
      <w:r>
        <w:rPr>
          <w:rFonts w:hint="default"/>
        </w:rPr>
        <w:t>- Tomato plants (host plants).</w:t>
      </w:r>
    </w:p>
    <w:p w14:paraId="7274865C">
      <w:pPr>
        <w:rPr>
          <w:rFonts w:hint="default"/>
        </w:rPr>
      </w:pPr>
      <w:r>
        <w:rPr>
          <w:rFonts w:hint="default"/>
        </w:rPr>
        <w:t>- Mesh cages for containment.</w:t>
      </w:r>
    </w:p>
    <w:p w14:paraId="6C4FDC8A">
      <w:pPr>
        <w:rPr>
          <w:rFonts w:hint="default"/>
        </w:rPr>
      </w:pPr>
      <w:r>
        <w:rPr>
          <w:rFonts w:hint="default"/>
        </w:rPr>
        <w:t>- Growth chamber with controlled temperature, humidity, and light.</w:t>
      </w:r>
    </w:p>
    <w:p w14:paraId="6268587C">
      <w:pPr>
        <w:rPr>
          <w:rFonts w:hint="default"/>
        </w:rPr>
      </w:pPr>
      <w:r>
        <w:rPr>
          <w:rFonts w:hint="default"/>
        </w:rPr>
        <w:t>$</w:t>
      </w:r>
    </w:p>
    <w:p w14:paraId="77200F58">
      <w:pPr>
        <w:rPr>
          <w:rFonts w:hint="default"/>
        </w:rPr>
      </w:pPr>
      <w:r>
        <w:rPr>
          <w:rFonts w:hint="default"/>
        </w:rPr>
        <w:t>Controls_and_validation:</w:t>
      </w:r>
    </w:p>
    <w:p w14:paraId="225E2D03">
      <w:pPr>
        <w:rPr>
          <w:rFonts w:hint="default"/>
        </w:rPr>
      </w:pPr>
      <w:r>
        <w:rPr>
          <w:rFonts w:hint="default"/>
        </w:rPr>
        <w:t>- Positive control: Insects reared under these conditions should develop normally.</w:t>
      </w:r>
    </w:p>
    <w:p w14:paraId="771E297D">
      <w:pPr>
        <w:rPr>
          <w:rFonts w:hint="default"/>
        </w:rPr>
      </w:pPr>
      <w:r>
        <w:rPr>
          <w:rFonts w:hint="default"/>
        </w:rPr>
        <w:t>- Negative control: Not applicable for maintenance.</w:t>
      </w:r>
    </w:p>
    <w:p w14:paraId="4D7F4520">
      <w:pPr>
        <w:rPr>
          <w:rFonts w:hint="default"/>
        </w:rPr>
      </w:pPr>
      <w:r>
        <w:rPr>
          <w:rFonts w:hint="default"/>
        </w:rPr>
        <w:t>- Validation logic: Successful establishment of a reproducing colony providing synchronized insects validates the rearing protocol.</w:t>
      </w:r>
    </w:p>
    <w:p w14:paraId="53B1808A">
      <w:pPr>
        <w:rPr>
          <w:rFonts w:hint="default"/>
        </w:rPr>
      </w:pPr>
      <w:r>
        <w:rPr>
          <w:rFonts w:hint="default"/>
        </w:rPr>
        <w:t>$</w:t>
      </w:r>
    </w:p>
    <w:p w14:paraId="1D2EEF25">
      <w:pPr>
        <w:rPr>
          <w:rFonts w:hint="default"/>
        </w:rPr>
      </w:pPr>
      <w:r>
        <w:rPr>
          <w:rFonts w:hint="default"/>
        </w:rPr>
        <w:t>Notes:</w:t>
      </w:r>
    </w:p>
    <w:p w14:paraId="455B6A44">
      <w:pPr>
        <w:rPr>
          <w:rFonts w:hint="default"/>
        </w:rPr>
      </w:pPr>
      <w:r>
        <w:rPr>
          <w:rFonts w:hint="default"/>
        </w:rPr>
        <w:t>- Teneral adults (soft-bodied, newly emerged) are particularly useful for feeding assays as they feed actively.</w:t>
      </w:r>
    </w:p>
    <w:p w14:paraId="5839FED5">
      <w:pPr>
        <w:rPr>
          <w:rFonts w:hint="default"/>
        </w:rPr>
      </w:pPr>
      <w:r>
        <w:rPr>
          <w:rFonts w:hint="default"/>
        </w:rPr>
        <w:t>- Ensure plant health within rearing cages to support insect development.</w:t>
      </w:r>
    </w:p>
    <w:p w14:paraId="407CF004">
      <w:pPr>
        <w:rPr>
          <w:rFonts w:hint="default"/>
        </w:rPr>
      </w:pPr>
      <w:r>
        <w:rPr>
          <w:rFonts w:hint="default"/>
        </w:rPr>
        <w:t>{}</w:t>
      </w:r>
    </w:p>
    <w:p w14:paraId="1A701F7D">
      <w:pPr>
        <w:rPr>
          <w:rFonts w:hint="default"/>
        </w:rPr>
      </w:pPr>
      <w:r>
        <w:rPr>
          <w:rFonts w:hint="default"/>
        </w:rPr>
        <w:t>$</w:t>
      </w:r>
    </w:p>
    <w:p w14:paraId="2248C9EE">
      <w:pPr>
        <w:rPr>
          <w:rFonts w:hint="default"/>
        </w:rPr>
      </w:pPr>
      <w:r>
        <w:rPr>
          <w:rFonts w:hint="default"/>
        </w:rPr>
        <w:t>Sub-protocol 2: Construction of Recombinant Plant Virus Vectors</w:t>
      </w:r>
    </w:p>
    <w:p w14:paraId="13E875F2">
      <w:pPr>
        <w:rPr>
          <w:rFonts w:hint="default"/>
        </w:rPr>
      </w:pPr>
      <w:r>
        <w:rPr>
          <w:rFonts w:hint="default"/>
        </w:rPr>
        <w:t>[PROTOCOL_STAGE=REAGENT_PREPARATION]</w:t>
      </w:r>
    </w:p>
    <w:p w14:paraId="7BC8F918">
      <w:pPr>
        <w:rPr>
          <w:rFonts w:hint="default"/>
        </w:rPr>
      </w:pPr>
      <w:r>
        <w:rPr>
          <w:rFonts w:hint="default"/>
        </w:rPr>
        <w:t>$</w:t>
      </w:r>
    </w:p>
    <w:p w14:paraId="14613733">
      <w:pPr>
        <w:rPr>
          <w:rFonts w:hint="default"/>
        </w:rPr>
      </w:pPr>
      <w:r>
        <w:rPr>
          <w:rFonts w:hint="default"/>
        </w:rPr>
        <w:t>Applicable_when:</w:t>
      </w:r>
    </w:p>
    <w:p w14:paraId="16A2E4DD">
      <w:pPr>
        <w:rPr>
          <w:rFonts w:hint="default"/>
        </w:rPr>
      </w:pPr>
      <w:r>
        <w:rPr>
          <w:rFonts w:hint="default"/>
        </w:rPr>
        <w:t>- Engineering plant viruses to express dsRNA/siRNA precursors targeting insect genes for in planta delivery.</w:t>
      </w:r>
    </w:p>
    <w:p w14:paraId="5FC3C67B">
      <w:pPr>
        <w:rPr>
          <w:rFonts w:hint="default"/>
        </w:rPr>
      </w:pPr>
      <w:r>
        <w:rPr>
          <w:rFonts w:hint="default"/>
        </w:rPr>
        <w:t>- Comparing different viral vectors (e.g., TMV, TRV, PVX) for efficiency.</w:t>
      </w:r>
    </w:p>
    <w:p w14:paraId="5C927C92">
      <w:pPr>
        <w:rPr>
          <w:rFonts w:hint="default"/>
        </w:rPr>
      </w:pPr>
      <w:r>
        <w:rPr>
          <w:rFonts w:hint="default"/>
        </w:rPr>
        <w:t>$</w:t>
      </w:r>
    </w:p>
    <w:p w14:paraId="661736FF">
      <w:pPr>
        <w:rPr>
          <w:rFonts w:hint="default"/>
        </w:rPr>
      </w:pPr>
      <w:r>
        <w:rPr>
          <w:rFonts w:hint="default"/>
        </w:rPr>
        <w:t>Purpose:</w:t>
      </w:r>
    </w:p>
    <w:p w14:paraId="42F0D5D9">
      <w:pPr>
        <w:rPr>
          <w:rFonts w:hint="default"/>
        </w:rPr>
      </w:pPr>
      <w:r>
        <w:rPr>
          <w:rFonts w:hint="default"/>
        </w:rPr>
        <w:t>- To clone fragments of the target insect genes into appropriate plant virus vectors to create recombinant viruses that will produce silencing triggers in infected plants.</w:t>
      </w:r>
    </w:p>
    <w:p w14:paraId="751B8C86">
      <w:pPr>
        <w:rPr>
          <w:rFonts w:hint="default"/>
        </w:rPr>
      </w:pPr>
      <w:r>
        <w:rPr>
          <w:rFonts w:hint="default"/>
        </w:rPr>
        <w:t>$</w:t>
      </w:r>
    </w:p>
    <w:p w14:paraId="24D93F5F">
      <w:pPr>
        <w:rPr>
          <w:rFonts w:hint="default"/>
        </w:rPr>
      </w:pPr>
      <w:r>
        <w:rPr>
          <w:rFonts w:hint="default"/>
        </w:rPr>
        <w:t>Procedure:</w:t>
      </w:r>
    </w:p>
    <w:p w14:paraId="42AA6AF2">
      <w:pPr>
        <w:rPr>
          <w:rFonts w:hint="default"/>
        </w:rPr>
      </w:pPr>
      <w:r>
        <w:rPr>
          <w:rFonts w:hint="default"/>
        </w:rPr>
        <w:t>1. Design PCR primers to amplify a fragment (e.g., 386 bp for BC-ATPase, 364 bp for BC-Actin) from the target B. cockerelli cDNA. Include a restriction site (e.g., NotI) and a T7 promoter sequence in the primers if required for subsequent steps.</w:t>
      </w:r>
    </w:p>
    <w:p w14:paraId="22A8AEB9">
      <w:pPr>
        <w:rPr>
          <w:rFonts w:hint="default"/>
        </w:rPr>
      </w:pPr>
      <w:r>
        <w:rPr>
          <w:rFonts w:hint="default"/>
        </w:rPr>
        <w:t>$</w:t>
      </w:r>
    </w:p>
    <w:p w14:paraId="4D17AAA9">
      <w:pPr>
        <w:rPr>
          <w:rFonts w:hint="default"/>
        </w:rPr>
      </w:pPr>
      <w:r>
        <w:rPr>
          <w:rFonts w:hint="default"/>
        </w:rPr>
        <w:t>Key_materials_and_equipment:</w:t>
      </w:r>
    </w:p>
    <w:p w14:paraId="6463A9C8">
      <w:pPr>
        <w:rPr>
          <w:rFonts w:hint="default"/>
        </w:rPr>
      </w:pPr>
      <w:r>
        <w:rPr>
          <w:rFonts w:hint="default"/>
        </w:rPr>
        <w:t>- B. cockerelli cDNA or genomic DNA.</w:t>
      </w:r>
    </w:p>
    <w:p w14:paraId="6974A4E6">
      <w:pPr>
        <w:rPr>
          <w:rFonts w:hint="default"/>
        </w:rPr>
      </w:pPr>
      <w:r>
        <w:rPr>
          <w:rFonts w:hint="default"/>
        </w:rPr>
        <w:t>- PCR thermal cycler and reagents.</w:t>
      </w:r>
    </w:p>
    <w:p w14:paraId="696E41AB">
      <w:pPr>
        <w:rPr>
          <w:rFonts w:hint="default"/>
        </w:rPr>
      </w:pPr>
      <w:r>
        <w:rPr>
          <w:rFonts w:hint="default"/>
        </w:rPr>
        <w:t>- Restriction enzymes (e.g., NotI, SpeI) and ligase.</w:t>
      </w:r>
    </w:p>
    <w:p w14:paraId="6B409E53">
      <w:pPr>
        <w:rPr>
          <w:rFonts w:hint="default"/>
        </w:rPr>
      </w:pPr>
      <w:r>
        <w:rPr>
          <w:rFonts w:hint="default"/>
        </w:rPr>
        <w:t>- Cloning vectors: pJL36 (TMV), pP2C2S (modified PVX), pYL279 (TRV2 Gateway vector), pCR8/GW/TOPO TA vector.</w:t>
      </w:r>
    </w:p>
    <w:p w14:paraId="6BCD826F">
      <w:pPr>
        <w:rPr>
          <w:rFonts w:hint="default"/>
        </w:rPr>
      </w:pPr>
      <w:r>
        <w:rPr>
          <w:rFonts w:hint="default"/>
        </w:rPr>
        <w:t>- Gateway® LR Clonase® enzyme mix (for TRV cloning).</w:t>
      </w:r>
    </w:p>
    <w:p w14:paraId="7BB68A61">
      <w:pPr>
        <w:rPr>
          <w:rFonts w:hint="default"/>
        </w:rPr>
      </w:pPr>
      <w:r>
        <w:rPr>
          <w:rFonts w:hint="default"/>
        </w:rPr>
        <w:t>- Agrobacterium tumefaciens strain GV3101.</w:t>
      </w:r>
    </w:p>
    <w:p w14:paraId="29F4101A">
      <w:pPr>
        <w:rPr>
          <w:rFonts w:hint="default"/>
        </w:rPr>
      </w:pPr>
      <w:r>
        <w:rPr>
          <w:rFonts w:hint="default"/>
        </w:rPr>
        <w:t>- Control plasmids: TMV-GFP (pJL24), TRV-GFP (pYL36).</w:t>
      </w:r>
    </w:p>
    <w:p w14:paraId="6E91F60F">
      <w:pPr>
        <w:rPr>
          <w:rFonts w:hint="default"/>
        </w:rPr>
      </w:pPr>
      <w:r>
        <w:rPr>
          <w:rFonts w:hint="default"/>
        </w:rPr>
        <w:t>$</w:t>
      </w:r>
    </w:p>
    <w:p w14:paraId="4054473F">
      <w:pPr>
        <w:rPr>
          <w:rFonts w:hint="default"/>
        </w:rPr>
      </w:pPr>
      <w:r>
        <w:rPr>
          <w:rFonts w:hint="default"/>
        </w:rPr>
        <w:t>Controls_and_validation:</w:t>
      </w:r>
    </w:p>
    <w:p w14:paraId="7F602154">
      <w:pPr>
        <w:rPr>
          <w:rFonts w:hint="default"/>
        </w:rPr>
      </w:pPr>
      <w:r>
        <w:rPr>
          <w:rFonts w:hint="default"/>
        </w:rPr>
        <w:t>- Positive control: Successful PCR amplification of the target fragment.</w:t>
      </w:r>
    </w:p>
    <w:p w14:paraId="7344FD59">
      <w:pPr>
        <w:rPr>
          <w:rFonts w:hint="default"/>
        </w:rPr>
      </w:pPr>
      <w:r>
        <w:rPr>
          <w:rFonts w:hint="default"/>
        </w:rPr>
        <w:t>- Negative control: Uncut vector backbone.</w:t>
      </w:r>
    </w:p>
    <w:p w14:paraId="72B8286F">
      <w:pPr>
        <w:rPr>
          <w:rFonts w:hint="default"/>
        </w:rPr>
      </w:pPr>
      <w:r>
        <w:rPr>
          <w:rFonts w:hint="default"/>
        </w:rPr>
        <w:t>- Validation logic: Correct insertion is confirmed by restriction digest analysis and sequencing of the recombinant plasmid. Control plasmids expressing GFP are essential for monitoring virus infection and for use as experimental controls.</w:t>
      </w:r>
    </w:p>
    <w:p w14:paraId="3FAF5E0C">
      <w:pPr>
        <w:rPr>
          <w:rFonts w:hint="default"/>
        </w:rPr>
      </w:pPr>
      <w:r>
        <w:rPr>
          <w:rFonts w:hint="default"/>
        </w:rPr>
        <w:t>$</w:t>
      </w:r>
    </w:p>
    <w:p w14:paraId="749550DA">
      <w:pPr>
        <w:rPr>
          <w:rFonts w:hint="default"/>
        </w:rPr>
      </w:pPr>
      <w:r>
        <w:rPr>
          <w:rFonts w:hint="default"/>
        </w:rPr>
        <w:t>Notes:</w:t>
      </w:r>
    </w:p>
    <w:p w14:paraId="0855C4A0">
      <w:pPr>
        <w:rPr>
          <w:rFonts w:hint="default"/>
        </w:rPr>
      </w:pPr>
      <w:r>
        <w:rPr>
          <w:rFonts w:hint="default"/>
        </w:rPr>
        <w:t>- For TMV and PVX, traditional restriction-ligation cloning is used.</w:t>
      </w:r>
    </w:p>
    <w:p w14:paraId="10861FFF">
      <w:pPr>
        <w:rPr>
          <w:rFonts w:hint="default"/>
        </w:rPr>
      </w:pPr>
      <w:r>
        <w:rPr>
          <w:rFonts w:hint="default"/>
        </w:rPr>
        <w:t>- For TRV, a Gateway® recombination cloning strategy is employed.</w:t>
      </w:r>
    </w:p>
    <w:p w14:paraId="2C189D91">
      <w:pPr>
        <w:rPr>
          <w:rFonts w:hint="default"/>
        </w:rPr>
      </w:pPr>
      <w:r>
        <w:rPr>
          <w:rFonts w:hint="default"/>
        </w:rPr>
        <w:t>- Always include a control virus expressing a non-insect sequence like GFP.</w:t>
      </w:r>
    </w:p>
    <w:p w14:paraId="5309470F">
      <w:pPr>
        <w:rPr>
          <w:rFonts w:hint="default"/>
        </w:rPr>
      </w:pPr>
      <w:r>
        <w:rPr>
          <w:rFonts w:hint="default"/>
        </w:rPr>
        <w:t>{}</w:t>
      </w:r>
    </w:p>
    <w:p w14:paraId="6434AEB8">
      <w:pPr>
        <w:rPr>
          <w:rFonts w:hint="default"/>
        </w:rPr>
      </w:pPr>
      <w:r>
        <w:rPr>
          <w:rFonts w:hint="default"/>
        </w:rPr>
        <w:t>$</w:t>
      </w:r>
    </w:p>
    <w:p w14:paraId="3DA5B89A">
      <w:pPr>
        <w:rPr>
          <w:rFonts w:hint="default"/>
        </w:rPr>
      </w:pPr>
      <w:r>
        <w:rPr>
          <w:rFonts w:hint="default"/>
        </w:rPr>
        <w:t>Sub-protocol 2: Construction of Recombinant Plant Virus Vectors (Continued - Cloning Steps)</w:t>
      </w:r>
    </w:p>
    <w:p w14:paraId="3458EB6C">
      <w:pPr>
        <w:rPr>
          <w:rFonts w:hint="default"/>
        </w:rPr>
      </w:pPr>
      <w:r>
        <w:rPr>
          <w:rFonts w:hint="default"/>
        </w:rPr>
        <w:t>[PROTOCOL_STAGE=REAGENT_PREPARATION]</w:t>
      </w:r>
    </w:p>
    <w:p w14:paraId="5E27C6D8">
      <w:pPr>
        <w:rPr>
          <w:rFonts w:hint="default"/>
        </w:rPr>
      </w:pPr>
      <w:r>
        <w:rPr>
          <w:rFonts w:hint="default"/>
        </w:rPr>
        <w:t>$</w:t>
      </w:r>
    </w:p>
    <w:p w14:paraId="60F16129">
      <w:pPr>
        <w:rPr>
          <w:rFonts w:hint="default"/>
        </w:rPr>
      </w:pPr>
      <w:r>
        <w:rPr>
          <w:rFonts w:hint="default"/>
        </w:rPr>
        <w:t>Applicable_when:</w:t>
      </w:r>
    </w:p>
    <w:p w14:paraId="307BD83C">
      <w:pPr>
        <w:rPr>
          <w:rFonts w:hint="default"/>
        </w:rPr>
      </w:pPr>
      <w:r>
        <w:rPr>
          <w:rFonts w:hint="default"/>
        </w:rPr>
        <w:t>- (Continuation) Executing the specific cloning steps for each viral vector.</w:t>
      </w:r>
    </w:p>
    <w:p w14:paraId="1A0659EE">
      <w:pPr>
        <w:rPr>
          <w:rFonts w:hint="default"/>
        </w:rPr>
      </w:pPr>
      <w:r>
        <w:rPr>
          <w:rFonts w:hint="default"/>
        </w:rPr>
        <w:t>$</w:t>
      </w:r>
    </w:p>
    <w:p w14:paraId="52C4D531">
      <w:pPr>
        <w:rPr>
          <w:rFonts w:hint="default"/>
        </w:rPr>
      </w:pPr>
      <w:r>
        <w:rPr>
          <w:rFonts w:hint="default"/>
        </w:rPr>
        <w:t>Purpose:</w:t>
      </w:r>
    </w:p>
    <w:p w14:paraId="4C301573">
      <w:pPr>
        <w:rPr>
          <w:rFonts w:hint="default"/>
        </w:rPr>
      </w:pPr>
      <w:r>
        <w:rPr>
          <w:rFonts w:hint="default"/>
        </w:rPr>
        <w:t>- To generate the final recombinant plasmids ready for plant inoculation.</w:t>
      </w:r>
    </w:p>
    <w:p w14:paraId="084C5377">
      <w:pPr>
        <w:rPr>
          <w:rFonts w:hint="default"/>
        </w:rPr>
      </w:pPr>
      <w:r>
        <w:rPr>
          <w:rFonts w:hint="default"/>
        </w:rPr>
        <w:t>$</w:t>
      </w:r>
    </w:p>
    <w:p w14:paraId="5981C309">
      <w:pPr>
        <w:rPr>
          <w:rFonts w:hint="default"/>
        </w:rPr>
      </w:pPr>
      <w:r>
        <w:rPr>
          <w:rFonts w:hint="default"/>
        </w:rPr>
        <w:t>Procedure:</w:t>
      </w:r>
    </w:p>
    <w:p w14:paraId="67F37ACE">
      <w:pPr>
        <w:rPr>
          <w:rFonts w:hint="default"/>
        </w:rPr>
      </w:pPr>
      <w:r>
        <w:rPr>
          <w:rFonts w:hint="default"/>
        </w:rPr>
        <w:t>1. (Continued) For TMV vector (pJL36): Digest the PCR amplicon and the pJL36 vector with NotI. Ligate the insert into the vector.</w:t>
      </w:r>
    </w:p>
    <w:p w14:paraId="5AD6D8A7">
      <w:pPr>
        <w:rPr>
          <w:rFonts w:hint="default"/>
        </w:rPr>
      </w:pPr>
      <w:r>
        <w:rPr>
          <w:rFonts w:hint="default"/>
        </w:rPr>
        <w:t>2. For PVX vector (modified pP2C2S): Digest the PCR amplicon and the modified vector with NotI. Ligate the insert into the vector.</w:t>
      </w:r>
    </w:p>
    <w:p w14:paraId="4E9B7108">
      <w:pPr>
        <w:rPr>
          <w:rFonts w:hint="default"/>
        </w:rPr>
      </w:pPr>
      <w:r>
        <w:rPr>
          <w:rFonts w:hint="default"/>
        </w:rPr>
        <w:t>3. For TRV vector (pYL279): First clone the PCR amplicon into the pCR8/GW/TOPO TA entry vector. Then perform an LR recombination reaction between this entry clone and the pYL279 destination vector using Gateway® LR Clonase®.</w:t>
      </w:r>
    </w:p>
    <w:p w14:paraId="4EAFD9BD">
      <w:pPr>
        <w:rPr>
          <w:rFonts w:hint="default"/>
        </w:rPr>
      </w:pPr>
      <w:r>
        <w:rPr>
          <w:rFonts w:hint="default"/>
        </w:rPr>
        <w:t>4. Transform all ligation/recombination products into E. coli, select correct colonies, and isolate plasmid DNA.</w:t>
      </w:r>
    </w:p>
    <w:p w14:paraId="333EB7E9">
      <w:pPr>
        <w:rPr>
          <w:rFonts w:hint="default"/>
        </w:rPr>
      </w:pPr>
      <w:r>
        <w:rPr>
          <w:rFonts w:hint="default"/>
        </w:rPr>
        <w:t>5. Verify all recombinant plasmids by restriction analysis and DNA sequencing.</w:t>
      </w:r>
    </w:p>
    <w:p w14:paraId="2C563800">
      <w:pPr>
        <w:rPr>
          <w:rFonts w:hint="default"/>
        </w:rPr>
      </w:pPr>
      <w:r>
        <w:rPr>
          <w:rFonts w:hint="default"/>
        </w:rPr>
        <w:t>6. For Agrobacterium-mediated delivery (TMV, TRV), transform the verified plasmids into Agrobacterium tumefaciens strain GV3101.</w:t>
      </w:r>
    </w:p>
    <w:p w14:paraId="6304CBCF">
      <w:pPr>
        <w:rPr>
          <w:rFonts w:hint="default"/>
        </w:rPr>
      </w:pPr>
      <w:r>
        <w:rPr>
          <w:rFonts w:hint="default"/>
        </w:rPr>
        <w:t>7. For PVX, purify plasmid from E. coli for in vitro transcription.</w:t>
      </w:r>
    </w:p>
    <w:p w14:paraId="46553A4C">
      <w:pPr>
        <w:rPr>
          <w:rFonts w:hint="default"/>
        </w:rPr>
      </w:pPr>
      <w:r>
        <w:rPr>
          <w:rFonts w:hint="default"/>
        </w:rPr>
        <w:t>$</w:t>
      </w:r>
    </w:p>
    <w:p w14:paraId="081EF376">
      <w:pPr>
        <w:rPr>
          <w:rFonts w:hint="default"/>
        </w:rPr>
      </w:pPr>
      <w:r>
        <w:rPr>
          <w:rFonts w:hint="default"/>
        </w:rPr>
        <w:t>Key_materials_and_equipment:</w:t>
      </w:r>
    </w:p>
    <w:p w14:paraId="6367D734">
      <w:pPr>
        <w:rPr>
          <w:rFonts w:hint="default"/>
        </w:rPr>
      </w:pPr>
      <w:r>
        <w:rPr>
          <w:rFonts w:hint="default"/>
        </w:rPr>
        <w:t>- (Same as previous segment)</w:t>
      </w:r>
    </w:p>
    <w:p w14:paraId="52B96060">
      <w:pPr>
        <w:rPr>
          <w:rFonts w:hint="default"/>
        </w:rPr>
      </w:pPr>
      <w:r>
        <w:rPr>
          <w:rFonts w:hint="default"/>
        </w:rPr>
        <w:t>$</w:t>
      </w:r>
    </w:p>
    <w:p w14:paraId="4D055D63">
      <w:pPr>
        <w:rPr>
          <w:rFonts w:hint="default"/>
        </w:rPr>
      </w:pPr>
      <w:r>
        <w:rPr>
          <w:rFonts w:hint="default"/>
        </w:rPr>
        <w:t>Controls_and_validation:</w:t>
      </w:r>
    </w:p>
    <w:p w14:paraId="21FA881C">
      <w:pPr>
        <w:rPr>
          <w:rFonts w:hint="default"/>
        </w:rPr>
      </w:pPr>
      <w:r>
        <w:rPr>
          <w:rFonts w:hint="default"/>
        </w:rPr>
        <w:t>- (Same as previous segment)</w:t>
      </w:r>
    </w:p>
    <w:p w14:paraId="4410B5AC">
      <w:pPr>
        <w:rPr>
          <w:rFonts w:hint="default"/>
        </w:rPr>
      </w:pPr>
      <w:r>
        <w:rPr>
          <w:rFonts w:hint="default"/>
        </w:rPr>
        <w:t>$</w:t>
      </w:r>
    </w:p>
    <w:p w14:paraId="5C56371F">
      <w:pPr>
        <w:rPr>
          <w:rFonts w:hint="default"/>
        </w:rPr>
      </w:pPr>
      <w:r>
        <w:rPr>
          <w:rFonts w:hint="default"/>
        </w:rPr>
        <w:t>Notes:</w:t>
      </w:r>
    </w:p>
    <w:p w14:paraId="329F0A5B">
      <w:pPr>
        <w:rPr>
          <w:rFonts w:hint="default"/>
        </w:rPr>
      </w:pPr>
      <w:r>
        <w:rPr>
          <w:rFonts w:hint="default"/>
        </w:rPr>
        <w:t>- The PVX vector requires linearization with SpeI before in vitro transcription.</w:t>
      </w:r>
    </w:p>
    <w:p w14:paraId="41B8AE83">
      <w:pPr>
        <w:rPr>
          <w:rFonts w:hint="default"/>
        </w:rPr>
      </w:pPr>
      <w:r>
        <w:rPr>
          <w:rFonts w:hint="default"/>
        </w:rPr>
        <w:t>- Maintain stock cultures of transformed Agrobacterium for TMV and TRV constructs.</w:t>
      </w:r>
    </w:p>
    <w:p w14:paraId="2B1C76D9">
      <w:pPr>
        <w:rPr>
          <w:rFonts w:hint="default"/>
        </w:rPr>
      </w:pPr>
      <w:r>
        <w:rPr>
          <w:rFonts w:hint="default"/>
        </w:rPr>
        <w:t>{}</w:t>
      </w:r>
    </w:p>
    <w:p w14:paraId="4E317589">
      <w:pPr>
        <w:rPr>
          <w:rFonts w:hint="default"/>
        </w:rPr>
      </w:pPr>
      <w:r>
        <w:rPr>
          <w:rFonts w:hint="default"/>
        </w:rPr>
        <w:t>$</w:t>
      </w:r>
    </w:p>
    <w:p w14:paraId="589298A8">
      <w:pPr>
        <w:rPr>
          <w:rFonts w:hint="default"/>
        </w:rPr>
      </w:pPr>
      <w:r>
        <w:rPr>
          <w:rFonts w:hint="default"/>
        </w:rPr>
        <w:t>Sub-protocol 3: Plant Inoculation with Recombinant Viruses</w:t>
      </w:r>
    </w:p>
    <w:p w14:paraId="080F81F8">
      <w:pPr>
        <w:rPr>
          <w:rFonts w:hint="default"/>
        </w:rPr>
      </w:pPr>
      <w:r>
        <w:rPr>
          <w:rFonts w:hint="default"/>
        </w:rPr>
        <w:t>[PROTOCOL_STAGE=TREATMENT_DELIVERY]</w:t>
      </w:r>
    </w:p>
    <w:p w14:paraId="134103D6">
      <w:pPr>
        <w:rPr>
          <w:rFonts w:hint="default"/>
        </w:rPr>
      </w:pPr>
      <w:r>
        <w:rPr>
          <w:rFonts w:hint="default"/>
        </w:rPr>
        <w:t>$</w:t>
      </w:r>
    </w:p>
    <w:p w14:paraId="35E2058B">
      <w:pPr>
        <w:rPr>
          <w:rFonts w:hint="default"/>
        </w:rPr>
      </w:pPr>
      <w:r>
        <w:rPr>
          <w:rFonts w:hint="default"/>
        </w:rPr>
        <w:t>Applicable_when:</w:t>
      </w:r>
    </w:p>
    <w:p w14:paraId="6DD3BA53">
      <w:pPr>
        <w:rPr>
          <w:rFonts w:hint="default"/>
        </w:rPr>
      </w:pPr>
      <w:r>
        <w:rPr>
          <w:rFonts w:hint="default"/>
        </w:rPr>
        <w:t>- Infecting host plants with recombinant viruses to produce dsRNA/siRNA targeting the insect pest.</w:t>
      </w:r>
    </w:p>
    <w:p w14:paraId="28684621">
      <w:pPr>
        <w:rPr>
          <w:rFonts w:hint="default"/>
        </w:rPr>
      </w:pPr>
      <w:r>
        <w:rPr>
          <w:rFonts w:hint="default"/>
        </w:rPr>
        <w:t>- Propagating viruses for use in bioassays.</w:t>
      </w:r>
    </w:p>
    <w:p w14:paraId="5DA9EA55">
      <w:pPr>
        <w:rPr>
          <w:rFonts w:hint="default"/>
        </w:rPr>
      </w:pPr>
      <w:r>
        <w:rPr>
          <w:rFonts w:hint="default"/>
        </w:rPr>
        <w:t>$</w:t>
      </w:r>
    </w:p>
    <w:p w14:paraId="59B784E2">
      <w:pPr>
        <w:rPr>
          <w:rFonts w:hint="default"/>
        </w:rPr>
      </w:pPr>
      <w:r>
        <w:rPr>
          <w:rFonts w:hint="default"/>
        </w:rPr>
        <w:t>Purpose:</w:t>
      </w:r>
    </w:p>
    <w:p w14:paraId="2CFD95B2">
      <w:pPr>
        <w:rPr>
          <w:rFonts w:hint="default"/>
        </w:rPr>
      </w:pPr>
      <w:r>
        <w:rPr>
          <w:rFonts w:hint="default"/>
        </w:rPr>
        <w:t>- To establish systemic infection in host plants with the recombinant viruses, leading to the production of virus-derived small interfering RNAs (siRNAs) homologous to the target insect genes.</w:t>
      </w:r>
    </w:p>
    <w:p w14:paraId="4FA79DD9">
      <w:pPr>
        <w:rPr>
          <w:rFonts w:hint="default"/>
        </w:rPr>
      </w:pPr>
      <w:r>
        <w:rPr>
          <w:rFonts w:hint="default"/>
        </w:rPr>
        <w:t>$</w:t>
      </w:r>
    </w:p>
    <w:p w14:paraId="116D6DF3">
      <w:pPr>
        <w:rPr>
          <w:rFonts w:hint="default"/>
        </w:rPr>
      </w:pPr>
      <w:r>
        <w:rPr>
          <w:rFonts w:hint="default"/>
        </w:rPr>
        <w:t>Procedure:</w:t>
      </w:r>
    </w:p>
    <w:p w14:paraId="22FA034A">
      <w:pPr>
        <w:rPr>
          <w:rFonts w:hint="default"/>
        </w:rPr>
      </w:pPr>
      <w:r>
        <w:rPr>
          <w:rFonts w:hint="default"/>
        </w:rPr>
        <w:t>1. Grow host plants: Nicotiana benthamiana (for initial propagation), tomato, tomatillo, and Turkish tobacco under standard greenhouse conditions.</w:t>
      </w:r>
    </w:p>
    <w:p w14:paraId="66226F08">
      <w:pPr>
        <w:rPr>
          <w:rFonts w:hint="default"/>
        </w:rPr>
      </w:pPr>
      <w:r>
        <w:rPr>
          <w:rFonts w:hint="default"/>
        </w:rPr>
        <w:t>$</w:t>
      </w:r>
    </w:p>
    <w:p w14:paraId="6B8D84D5">
      <w:pPr>
        <w:rPr>
          <w:rFonts w:hint="default"/>
        </w:rPr>
      </w:pPr>
      <w:r>
        <w:rPr>
          <w:rFonts w:hint="default"/>
        </w:rPr>
        <w:t>Key_materials_and_equipment:</w:t>
      </w:r>
    </w:p>
    <w:p w14:paraId="5525E80E">
      <w:pPr>
        <w:rPr>
          <w:rFonts w:hint="default"/>
        </w:rPr>
      </w:pPr>
      <w:r>
        <w:rPr>
          <w:rFonts w:hint="default"/>
        </w:rPr>
        <w:t>- Plant growth facilities (greenhouse, growth chambers).</w:t>
      </w:r>
    </w:p>
    <w:p w14:paraId="706984F5">
      <w:pPr>
        <w:rPr>
          <w:rFonts w:hint="default"/>
        </w:rPr>
      </w:pPr>
      <w:r>
        <w:rPr>
          <w:rFonts w:hint="default"/>
        </w:rPr>
        <w:t>- Agrobacterium tumefaciens GV3101 cultures carrying TMV or TRV constructs.</w:t>
      </w:r>
    </w:p>
    <w:p w14:paraId="4FBE7D3A">
      <w:pPr>
        <w:rPr>
          <w:rFonts w:hint="default"/>
        </w:rPr>
      </w:pPr>
      <w:r>
        <w:rPr>
          <w:rFonts w:hint="default"/>
        </w:rPr>
        <w:t>- Liquid culture media for Agrobacterium.</w:t>
      </w:r>
    </w:p>
    <w:p w14:paraId="6128E359">
      <w:pPr>
        <w:rPr>
          <w:rFonts w:hint="default"/>
        </w:rPr>
      </w:pPr>
      <w:r>
        <w:rPr>
          <w:rFonts w:hint="default"/>
        </w:rPr>
        <w:t>- Sterile syringe (1 mL without needle) or similar for infiltration.</w:t>
      </w:r>
    </w:p>
    <w:p w14:paraId="198C23F3">
      <w:pPr>
        <w:rPr>
          <w:rFonts w:hint="default"/>
        </w:rPr>
      </w:pPr>
      <w:r>
        <w:rPr>
          <w:rFonts w:hint="default"/>
        </w:rPr>
        <w:t>- FES buffer (1% sodium pyrophosphate, 1% bentonite, 1% celite in 0.1 M glycine, 0.06 M K2HPO4).</w:t>
      </w:r>
    </w:p>
    <w:p w14:paraId="1F642FA7">
      <w:pPr>
        <w:rPr>
          <w:rFonts w:hint="default"/>
        </w:rPr>
      </w:pPr>
      <w:r>
        <w:rPr>
          <w:rFonts w:hint="default"/>
        </w:rPr>
        <w:t>- T7 in vitro transcription kit (e.g., mMESSAGE mMACHINE® T7 Kit) for PVX RNA.</w:t>
      </w:r>
    </w:p>
    <w:p w14:paraId="43BBF187">
      <w:pPr>
        <w:rPr>
          <w:rFonts w:hint="default"/>
        </w:rPr>
      </w:pPr>
      <w:r>
        <w:rPr>
          <w:rFonts w:hint="default"/>
        </w:rPr>
        <w:t>- Carborundum or celite (for rub inoculation).</w:t>
      </w:r>
    </w:p>
    <w:p w14:paraId="5F9D0B91">
      <w:pPr>
        <w:rPr>
          <w:rFonts w:hint="default"/>
        </w:rPr>
      </w:pPr>
      <w:r>
        <w:rPr>
          <w:rFonts w:hint="default"/>
        </w:rPr>
        <w:t>$</w:t>
      </w:r>
    </w:p>
    <w:p w14:paraId="48637EBE">
      <w:pPr>
        <w:rPr>
          <w:rFonts w:hint="default"/>
        </w:rPr>
      </w:pPr>
      <w:r>
        <w:rPr>
          <w:rFonts w:hint="default"/>
        </w:rPr>
        <w:t>Controls_and_validation:</w:t>
      </w:r>
    </w:p>
    <w:p w14:paraId="0B6710CE">
      <w:pPr>
        <w:rPr>
          <w:rFonts w:hint="default"/>
        </w:rPr>
      </w:pPr>
      <w:r>
        <w:rPr>
          <w:rFonts w:hint="default"/>
        </w:rPr>
        <w:t>- Positive control: Inoculate plants with recombinant virus expressing GFP. GFP fluorescence under UV light confirms successful infection.</w:t>
      </w:r>
    </w:p>
    <w:p w14:paraId="6070ED96">
      <w:pPr>
        <w:rPr>
          <w:rFonts w:hint="default"/>
        </w:rPr>
      </w:pPr>
      <w:r>
        <w:rPr>
          <w:rFonts w:hint="default"/>
        </w:rPr>
        <w:t>- Negative control: Mock-inoculate plants with Agrobacterium carrying empty vector or with FES buffer alone.</w:t>
      </w:r>
    </w:p>
    <w:p w14:paraId="619DE8A6">
      <w:pPr>
        <w:rPr>
          <w:rFonts w:hint="default"/>
        </w:rPr>
      </w:pPr>
      <w:r>
        <w:rPr>
          <w:rFonts w:hint="default"/>
        </w:rPr>
        <w:t>- Validation logic: Systemic virus infection is visually confirmed (symptoms, GFP fluorescence). Retention of the inserted insect gene sequence in systemically infected leaves is confirmed by RT-PCR.</w:t>
      </w:r>
    </w:p>
    <w:p w14:paraId="6DFD3CBB">
      <w:pPr>
        <w:rPr>
          <w:rFonts w:hint="default"/>
        </w:rPr>
      </w:pPr>
      <w:r>
        <w:rPr>
          <w:rFonts w:hint="default"/>
        </w:rPr>
        <w:t>$</w:t>
      </w:r>
    </w:p>
    <w:p w14:paraId="0D4FEDA5">
      <w:pPr>
        <w:rPr>
          <w:rFonts w:hint="default"/>
        </w:rPr>
      </w:pPr>
      <w:r>
        <w:rPr>
          <w:rFonts w:hint="default"/>
        </w:rPr>
        <w:t>Notes:</w:t>
      </w:r>
    </w:p>
    <w:p w14:paraId="291EA77F">
      <w:pPr>
        <w:rPr>
          <w:rFonts w:hint="default"/>
        </w:rPr>
      </w:pPr>
      <w:r>
        <w:rPr>
          <w:rFonts w:hint="default"/>
        </w:rPr>
        <w:t>- N. benthamiana is often used as an intermediate host to amplify virus titer before inoculating the final assay plants (tomato, tomatillo, tobacco).</w:t>
      </w:r>
    </w:p>
    <w:p w14:paraId="0735B0AE">
      <w:pPr>
        <w:rPr>
          <w:rFonts w:hint="default"/>
        </w:rPr>
      </w:pPr>
      <w:r>
        <w:rPr>
          <w:rFonts w:hint="default"/>
        </w:rPr>
        <w:t>- The method of inoculation differs: Agrobacterium infiltration for TMV/TRV; in vitro transcribed RNA rub inoculation for PVX.</w:t>
      </w:r>
    </w:p>
    <w:p w14:paraId="69FA2623">
      <w:pPr>
        <w:rPr>
          <w:rFonts w:hint="default"/>
        </w:rPr>
      </w:pPr>
      <w:r>
        <w:rPr>
          <w:rFonts w:hint="default"/>
        </w:rPr>
        <w:t>- Wait approximately 14 days post-inoculation for systemic infection to develop before using plants for insect bioassays.</w:t>
      </w:r>
    </w:p>
    <w:p w14:paraId="5360FD7D">
      <w:pPr>
        <w:rPr>
          <w:rFonts w:hint="default"/>
        </w:rPr>
      </w:pPr>
      <w:r>
        <w:rPr>
          <w:rFonts w:hint="default"/>
        </w:rPr>
        <w:t>{}</w:t>
      </w:r>
    </w:p>
    <w:p w14:paraId="72E2C3D4">
      <w:pPr>
        <w:rPr>
          <w:rFonts w:hint="default"/>
        </w:rPr>
      </w:pPr>
      <w:r>
        <w:rPr>
          <w:rFonts w:hint="default"/>
        </w:rPr>
        <w:t>$</w:t>
      </w:r>
    </w:p>
    <w:p w14:paraId="5A8CC688">
      <w:pPr>
        <w:rPr>
          <w:rFonts w:hint="default"/>
        </w:rPr>
      </w:pPr>
      <w:r>
        <w:rPr>
          <w:rFonts w:hint="default"/>
        </w:rPr>
        <w:t>Sub-protocol 3: Plant Inoculation with Recombinant Viruses (Continued - Inoculation Methods)</w:t>
      </w:r>
    </w:p>
    <w:p w14:paraId="0BCEE421">
      <w:pPr>
        <w:rPr>
          <w:rFonts w:hint="default"/>
        </w:rPr>
      </w:pPr>
      <w:r>
        <w:rPr>
          <w:rFonts w:hint="default"/>
        </w:rPr>
        <w:t>[PROTOCOL_STAGE=TREATMENT_DELIVERY]</w:t>
      </w:r>
    </w:p>
    <w:p w14:paraId="42B7C165">
      <w:pPr>
        <w:rPr>
          <w:rFonts w:hint="default"/>
        </w:rPr>
      </w:pPr>
      <w:r>
        <w:rPr>
          <w:rFonts w:hint="default"/>
        </w:rPr>
        <w:t>$</w:t>
      </w:r>
    </w:p>
    <w:p w14:paraId="5F6B6504">
      <w:pPr>
        <w:rPr>
          <w:rFonts w:hint="default"/>
        </w:rPr>
      </w:pPr>
      <w:r>
        <w:rPr>
          <w:rFonts w:hint="default"/>
        </w:rPr>
        <w:t>Applicable_when:</w:t>
      </w:r>
    </w:p>
    <w:p w14:paraId="090DA623">
      <w:pPr>
        <w:rPr>
          <w:rFonts w:hint="default"/>
        </w:rPr>
      </w:pPr>
      <w:r>
        <w:rPr>
          <w:rFonts w:hint="default"/>
        </w:rPr>
        <w:t>- (Continuation) Performing the specific inoculation procedures for each virus.</w:t>
      </w:r>
    </w:p>
    <w:p w14:paraId="604B4B50">
      <w:pPr>
        <w:rPr>
          <w:rFonts w:hint="default"/>
        </w:rPr>
      </w:pPr>
      <w:r>
        <w:rPr>
          <w:rFonts w:hint="default"/>
        </w:rPr>
        <w:t>$</w:t>
      </w:r>
    </w:p>
    <w:p w14:paraId="39F7B7AD">
      <w:pPr>
        <w:rPr>
          <w:rFonts w:hint="default"/>
        </w:rPr>
      </w:pPr>
      <w:r>
        <w:rPr>
          <w:rFonts w:hint="default"/>
        </w:rPr>
        <w:t>Purpose:</w:t>
      </w:r>
    </w:p>
    <w:p w14:paraId="2E406025">
      <w:pPr>
        <w:rPr>
          <w:rFonts w:hint="default"/>
        </w:rPr>
      </w:pPr>
      <w:r>
        <w:rPr>
          <w:rFonts w:hint="default"/>
        </w:rPr>
        <w:t>- To detail the Agrobacterium infiltration and mechanical inoculation techniques.</w:t>
      </w:r>
    </w:p>
    <w:p w14:paraId="0C1A4498">
      <w:pPr>
        <w:rPr>
          <w:rFonts w:hint="default"/>
        </w:rPr>
      </w:pPr>
      <w:r>
        <w:rPr>
          <w:rFonts w:hint="default"/>
        </w:rPr>
        <w:t>$</w:t>
      </w:r>
    </w:p>
    <w:p w14:paraId="5BB7AA3D">
      <w:pPr>
        <w:rPr>
          <w:rFonts w:hint="default"/>
        </w:rPr>
      </w:pPr>
      <w:r>
        <w:rPr>
          <w:rFonts w:hint="default"/>
        </w:rPr>
        <w:t>Procedure:</w:t>
      </w:r>
    </w:p>
    <w:p w14:paraId="3DC1AE79">
      <w:pPr>
        <w:rPr>
          <w:rFonts w:hint="default"/>
        </w:rPr>
      </w:pPr>
      <w:r>
        <w:rPr>
          <w:rFonts w:hint="default"/>
        </w:rPr>
        <w:t>1. (Continued) For TMV and TRV (Agrobacterium-mediated):</w:t>
      </w:r>
    </w:p>
    <w:p w14:paraId="5D597BD3">
      <w:pPr>
        <w:rPr>
          <w:rFonts w:hint="default"/>
        </w:rPr>
      </w:pPr>
      <w:r>
        <w:rPr>
          <w:rFonts w:hint="default"/>
        </w:rPr>
        <w:t xml:space="preserve">   a. Grow Agrobacterium carrying the viral plasmid(s) in liquid culture.</w:t>
      </w:r>
    </w:p>
    <w:p w14:paraId="755E8A2F">
      <w:pPr>
        <w:rPr>
          <w:rFonts w:hint="default"/>
        </w:rPr>
      </w:pPr>
      <w:r>
        <w:rPr>
          <w:rFonts w:hint="default"/>
        </w:rPr>
        <w:t xml:space="preserve">   b. For TRV, mix cultures of Agrobacterium carrying TRV1 and TRV2 (containing the insert) in a 1:1 ratio.</w:t>
      </w:r>
    </w:p>
    <w:p w14:paraId="1673B8DB">
      <w:pPr>
        <w:rPr>
          <w:rFonts w:hint="default"/>
        </w:rPr>
      </w:pPr>
      <w:r>
        <w:rPr>
          <w:rFonts w:hint="default"/>
        </w:rPr>
        <w:t xml:space="preserve">   c. Infiltrate the bacterial suspension into the leaves of 3-4 leaf stage N. benthamiana plants using a syringe without a needle.</w:t>
      </w:r>
    </w:p>
    <w:p w14:paraId="389159F7">
      <w:pPr>
        <w:rPr>
          <w:rFonts w:hint="default"/>
        </w:rPr>
      </w:pPr>
      <w:r>
        <w:rPr>
          <w:rFonts w:hint="default"/>
        </w:rPr>
        <w:t>2. After 14 days, collect systemically infected leaves from N. benthamiana.</w:t>
      </w:r>
    </w:p>
    <w:p w14:paraId="4BBFD116">
      <w:pPr>
        <w:rPr>
          <w:rFonts w:hint="default"/>
        </w:rPr>
      </w:pPr>
      <w:r>
        <w:rPr>
          <w:rFonts w:hint="default"/>
        </w:rPr>
        <w:t>3. Use these leaves as inoculum to mechanically inoculate (rub inoculation) the final assay plants (tomato, tomatillo, tobacco). Grind infected leaf tissue in FES buffer and rub onto leaves dusted with carborundum.</w:t>
      </w:r>
    </w:p>
    <w:p w14:paraId="4C489BB5">
      <w:pPr>
        <w:rPr>
          <w:rFonts w:hint="default"/>
        </w:rPr>
      </w:pPr>
      <w:r>
        <w:rPr>
          <w:rFonts w:hint="default"/>
        </w:rPr>
        <w:t>4. For PVX (in vitro transcript-mediated):</w:t>
      </w:r>
    </w:p>
    <w:p w14:paraId="0DD95D97">
      <w:pPr>
        <w:rPr>
          <w:rFonts w:hint="default"/>
        </w:rPr>
      </w:pPr>
      <w:r>
        <w:rPr>
          <w:rFonts w:hint="default"/>
        </w:rPr>
        <w:t xml:space="preserve">   a. Linearize the PVX plasmid with SpeI.</w:t>
      </w:r>
    </w:p>
    <w:p w14:paraId="32FEC4D0">
      <w:pPr>
        <w:rPr>
          <w:rFonts w:hint="default"/>
        </w:rPr>
      </w:pPr>
      <w:r>
        <w:rPr>
          <w:rFonts w:hint="default"/>
        </w:rPr>
        <w:t xml:space="preserve">   b. Perform in vitro transcription using a T7 kit to generate infectious RNA.</w:t>
      </w:r>
    </w:p>
    <w:p w14:paraId="44073EF9">
      <w:pPr>
        <w:rPr>
          <w:rFonts w:hint="default"/>
        </w:rPr>
      </w:pPr>
      <w:r>
        <w:rPr>
          <w:rFonts w:hint="default"/>
        </w:rPr>
        <w:t xml:space="preserve">   c. Mix 5 µL of RNA with 45 µL of FES buffer.</w:t>
      </w:r>
    </w:p>
    <w:p w14:paraId="150DAF8E">
      <w:pPr>
        <w:rPr>
          <w:rFonts w:hint="default"/>
        </w:rPr>
      </w:pPr>
      <w:r>
        <w:rPr>
          <w:rFonts w:hint="default"/>
        </w:rPr>
        <w:t xml:space="preserve">   d. Rub-inoculate onto leaves of N. benthamiana plants.</w:t>
      </w:r>
    </w:p>
    <w:p w14:paraId="12CE2D8F">
      <w:pPr>
        <w:rPr>
          <w:rFonts w:hint="default"/>
        </w:rPr>
      </w:pPr>
      <w:r>
        <w:rPr>
          <w:rFonts w:hint="default"/>
        </w:rPr>
        <w:t>5. After systemic PVX infection in N. benthamiana (14 days), use infected tissue to mechanically inoculate assay plants as in step 3.</w:t>
      </w:r>
    </w:p>
    <w:p w14:paraId="095B107E">
      <w:pPr>
        <w:rPr>
          <w:rFonts w:hint="default"/>
        </w:rPr>
      </w:pPr>
      <w:r>
        <w:rPr>
          <w:rFonts w:hint="default"/>
        </w:rPr>
        <w:t>6. For all plants and viruses, confirm systemic infection and retention of the insert by RT-PCR on leaf samples 14 days post-inoculation.</w:t>
      </w:r>
    </w:p>
    <w:p w14:paraId="710709BB">
      <w:pPr>
        <w:rPr>
          <w:rFonts w:hint="default"/>
        </w:rPr>
      </w:pPr>
      <w:r>
        <w:rPr>
          <w:rFonts w:hint="default"/>
        </w:rPr>
        <w:t>$</w:t>
      </w:r>
    </w:p>
    <w:p w14:paraId="55C662EF">
      <w:pPr>
        <w:rPr>
          <w:rFonts w:hint="default"/>
        </w:rPr>
      </w:pPr>
      <w:r>
        <w:rPr>
          <w:rFonts w:hint="default"/>
        </w:rPr>
        <w:t>Key_materials_and_equipment:</w:t>
      </w:r>
    </w:p>
    <w:p w14:paraId="59796D57">
      <w:pPr>
        <w:rPr>
          <w:rFonts w:hint="default"/>
        </w:rPr>
      </w:pPr>
      <w:r>
        <w:rPr>
          <w:rFonts w:hint="default"/>
        </w:rPr>
        <w:t>- (Same as previous segment)</w:t>
      </w:r>
    </w:p>
    <w:p w14:paraId="06FE9631">
      <w:pPr>
        <w:rPr>
          <w:rFonts w:hint="default"/>
        </w:rPr>
      </w:pPr>
      <w:r>
        <w:rPr>
          <w:rFonts w:hint="default"/>
        </w:rPr>
        <w:t>$</w:t>
      </w:r>
    </w:p>
    <w:p w14:paraId="56B1A742">
      <w:pPr>
        <w:rPr>
          <w:rFonts w:hint="default"/>
        </w:rPr>
      </w:pPr>
      <w:r>
        <w:rPr>
          <w:rFonts w:hint="default"/>
        </w:rPr>
        <w:t>Controls_and_validation:</w:t>
      </w:r>
    </w:p>
    <w:p w14:paraId="66DF1896">
      <w:pPr>
        <w:rPr>
          <w:rFonts w:hint="default"/>
        </w:rPr>
      </w:pPr>
      <w:r>
        <w:rPr>
          <w:rFonts w:hint="default"/>
        </w:rPr>
        <w:t>- (Same as previous segment)</w:t>
      </w:r>
    </w:p>
    <w:p w14:paraId="6B26810D">
      <w:pPr>
        <w:rPr>
          <w:rFonts w:hint="default"/>
        </w:rPr>
      </w:pPr>
      <w:r>
        <w:rPr>
          <w:rFonts w:hint="default"/>
        </w:rPr>
        <w:t>$</w:t>
      </w:r>
    </w:p>
    <w:p w14:paraId="31C8A774">
      <w:pPr>
        <w:rPr>
          <w:rFonts w:hint="default"/>
        </w:rPr>
      </w:pPr>
      <w:r>
        <w:rPr>
          <w:rFonts w:hint="default"/>
        </w:rPr>
        <w:t>Notes:</w:t>
      </w:r>
    </w:p>
    <w:p w14:paraId="09EFBE5F">
      <w:pPr>
        <w:rPr>
          <w:rFonts w:hint="default"/>
        </w:rPr>
      </w:pPr>
      <w:r>
        <w:rPr>
          <w:rFonts w:hint="default"/>
        </w:rPr>
        <w:t>- Wear gloves and clean tools between different virus treatments to prevent cross-contamination.</w:t>
      </w:r>
    </w:p>
    <w:p w14:paraId="18D181AA">
      <w:pPr>
        <w:rPr>
          <w:rFonts w:hint="default"/>
        </w:rPr>
      </w:pPr>
      <w:r>
        <w:rPr>
          <w:rFonts w:hint="default"/>
        </w:rPr>
        <w:t>- For bioassays, use specific leaf types: inoculated leaves for tobacco; lower expanded leaves for tomato and tomatillo (unless stated otherwise).</w:t>
      </w:r>
    </w:p>
    <w:p w14:paraId="3A357F28">
      <w:pPr>
        <w:rPr>
          <w:rFonts w:hint="default"/>
        </w:rPr>
      </w:pPr>
      <w:r>
        <w:rPr>
          <w:rFonts w:hint="default"/>
        </w:rPr>
        <w:t>{}</w:t>
      </w:r>
    </w:p>
    <w:p w14:paraId="5CA80067">
      <w:pPr>
        <w:rPr>
          <w:rFonts w:hint="default"/>
        </w:rPr>
      </w:pPr>
      <w:r>
        <w:rPr>
          <w:rFonts w:hint="default"/>
        </w:rPr>
        <w:t>$</w:t>
      </w:r>
    </w:p>
    <w:p w14:paraId="6A95A5E6">
      <w:pPr>
        <w:rPr>
          <w:rFonts w:hint="default"/>
        </w:rPr>
      </w:pPr>
      <w:r>
        <w:rPr>
          <w:rFonts w:hint="default"/>
        </w:rPr>
        <w:t>Sub-protocol 4: Insect Feeding Bioassays on Virus-Infected Plants</w:t>
      </w:r>
    </w:p>
    <w:p w14:paraId="755AD3A2">
      <w:pPr>
        <w:rPr>
          <w:rFonts w:hint="default"/>
        </w:rPr>
      </w:pPr>
      <w:r>
        <w:rPr>
          <w:rFonts w:hint="default"/>
        </w:rPr>
        <w:t>[PROTOCOL_STAGE=TREATMENT_DELIVERY]</w:t>
      </w:r>
    </w:p>
    <w:p w14:paraId="25A8548D">
      <w:pPr>
        <w:rPr>
          <w:rFonts w:hint="default"/>
        </w:rPr>
      </w:pPr>
      <w:r>
        <w:rPr>
          <w:rFonts w:hint="default"/>
        </w:rPr>
        <w:t>$</w:t>
      </w:r>
    </w:p>
    <w:p w14:paraId="1221F543">
      <w:pPr>
        <w:rPr>
          <w:rFonts w:hint="default"/>
        </w:rPr>
      </w:pPr>
      <w:r>
        <w:rPr>
          <w:rFonts w:hint="default"/>
        </w:rPr>
        <w:t>Applicable_when:</w:t>
      </w:r>
    </w:p>
    <w:p w14:paraId="310501B8">
      <w:pPr>
        <w:rPr>
          <w:rFonts w:hint="default"/>
        </w:rPr>
      </w:pPr>
      <w:r>
        <w:rPr>
          <w:rFonts w:hint="default"/>
        </w:rPr>
        <w:t>- Exposing B. cockerelli to dsRNA/siRNAs produced in virus-infected plants.</w:t>
      </w:r>
    </w:p>
    <w:p w14:paraId="27B9C730">
      <w:pPr>
        <w:rPr>
          <w:rFonts w:hint="default"/>
        </w:rPr>
      </w:pPr>
      <w:r>
        <w:rPr>
          <w:rFonts w:hint="default"/>
        </w:rPr>
        <w:t>- Assessing RNAi efficacy via gene knockdown or phenotypic effects.</w:t>
      </w:r>
    </w:p>
    <w:p w14:paraId="6485C738">
      <w:pPr>
        <w:rPr>
          <w:rFonts w:hint="default"/>
        </w:rPr>
      </w:pPr>
      <w:r>
        <w:rPr>
          <w:rFonts w:hint="default"/>
        </w:rPr>
        <w:t>$</w:t>
      </w:r>
    </w:p>
    <w:p w14:paraId="2B22C4C3">
      <w:pPr>
        <w:rPr>
          <w:rFonts w:hint="default"/>
        </w:rPr>
      </w:pPr>
      <w:r>
        <w:rPr>
          <w:rFonts w:hint="default"/>
        </w:rPr>
        <w:t>Purpose:</w:t>
      </w:r>
    </w:p>
    <w:p w14:paraId="7B60F787">
      <w:pPr>
        <w:rPr>
          <w:rFonts w:hint="default"/>
        </w:rPr>
      </w:pPr>
      <w:r>
        <w:rPr>
          <w:rFonts w:hint="default"/>
        </w:rPr>
        <w:t>- To deliver the RNAi effectors to B. cockerelli by allowing them to feed on plants systemically infected with recombinant viruses, and to compare different confinement methods.</w:t>
      </w:r>
    </w:p>
    <w:p w14:paraId="67880CC0">
      <w:pPr>
        <w:rPr>
          <w:rFonts w:hint="default"/>
        </w:rPr>
      </w:pPr>
      <w:r>
        <w:rPr>
          <w:rFonts w:hint="default"/>
        </w:rPr>
        <w:t>$</w:t>
      </w:r>
    </w:p>
    <w:p w14:paraId="1540632B">
      <w:pPr>
        <w:rPr>
          <w:rFonts w:hint="default"/>
        </w:rPr>
      </w:pPr>
      <w:r>
        <w:rPr>
          <w:rFonts w:hint="default"/>
        </w:rPr>
        <w:t>Procedure:</w:t>
      </w:r>
    </w:p>
    <w:p w14:paraId="543ECAD0">
      <w:pPr>
        <w:rPr>
          <w:rFonts w:hint="default"/>
        </w:rPr>
      </w:pPr>
      <w:r>
        <w:rPr>
          <w:rFonts w:hint="default"/>
        </w:rPr>
        <w:t>1. Prepare virus-infected plants 14 days post-inoculation. Include plants infected with control virus (e.g., TMV-GFP) and target gene virus (e.g., TMV-BC-ATPase).</w:t>
      </w:r>
    </w:p>
    <w:p w14:paraId="0A2CAA37">
      <w:pPr>
        <w:rPr>
          <w:rFonts w:hint="default"/>
        </w:rPr>
      </w:pPr>
      <w:r>
        <w:rPr>
          <w:rFonts w:hint="default"/>
        </w:rPr>
        <w:t>$</w:t>
      </w:r>
    </w:p>
    <w:p w14:paraId="1717C018">
      <w:pPr>
        <w:rPr>
          <w:rFonts w:hint="default"/>
        </w:rPr>
      </w:pPr>
      <w:r>
        <w:rPr>
          <w:rFonts w:hint="default"/>
        </w:rPr>
        <w:t>Key_materials_and_equipment:</w:t>
      </w:r>
    </w:p>
    <w:p w14:paraId="51F75F71">
      <w:pPr>
        <w:rPr>
          <w:rFonts w:hint="default"/>
        </w:rPr>
      </w:pPr>
      <w:r>
        <w:rPr>
          <w:rFonts w:hint="default"/>
        </w:rPr>
        <w:t>- Virus-infected plants (tomatillo, tomato, tobacco).</w:t>
      </w:r>
    </w:p>
    <w:p w14:paraId="5B1AC151">
      <w:pPr>
        <w:rPr>
          <w:rFonts w:hint="default"/>
        </w:rPr>
      </w:pPr>
      <w:r>
        <w:rPr>
          <w:rFonts w:hint="default"/>
        </w:rPr>
        <w:t>- Insect confinement tools: Plastic cylindrical sleeve cages, mesh bags, 12-well tissue culture plates.</w:t>
      </w:r>
    </w:p>
    <w:p w14:paraId="1B01B510">
      <w:pPr>
        <w:rPr>
          <w:rFonts w:hint="default"/>
        </w:rPr>
      </w:pPr>
      <w:r>
        <w:rPr>
          <w:rFonts w:hint="default"/>
        </w:rPr>
        <w:t>- Murashige and Skoog (MS) medium agar (for leaf disc assays).</w:t>
      </w:r>
    </w:p>
    <w:p w14:paraId="62137E33">
      <w:pPr>
        <w:rPr>
          <w:rFonts w:hint="default"/>
        </w:rPr>
      </w:pPr>
      <w:r>
        <w:rPr>
          <w:rFonts w:hint="default"/>
        </w:rPr>
        <w:t>- Fine paintbrushes or aspirators for handling insects.</w:t>
      </w:r>
    </w:p>
    <w:p w14:paraId="65B5941F">
      <w:pPr>
        <w:rPr>
          <w:rFonts w:hint="default"/>
        </w:rPr>
      </w:pPr>
      <w:r>
        <w:rPr>
          <w:rFonts w:hint="default"/>
        </w:rPr>
        <w:t>- Synchronous B. cockerelli nymphs or teneral adults.</w:t>
      </w:r>
    </w:p>
    <w:p w14:paraId="103ECEA1">
      <w:pPr>
        <w:rPr>
          <w:rFonts w:hint="default"/>
        </w:rPr>
      </w:pPr>
      <w:r>
        <w:rPr>
          <w:rFonts w:hint="default"/>
        </w:rPr>
        <w:t>$</w:t>
      </w:r>
    </w:p>
    <w:p w14:paraId="0E880A56">
      <w:pPr>
        <w:rPr>
          <w:rFonts w:hint="default"/>
        </w:rPr>
      </w:pPr>
      <w:r>
        <w:rPr>
          <w:rFonts w:hint="default"/>
        </w:rPr>
        <w:t>Controls_and_validation:</w:t>
      </w:r>
    </w:p>
    <w:p w14:paraId="4CC4ACE7">
      <w:pPr>
        <w:rPr>
          <w:rFonts w:hint="default"/>
        </w:rPr>
      </w:pPr>
      <w:r>
        <w:rPr>
          <w:rFonts w:hint="default"/>
        </w:rPr>
        <w:t>- Positive control for phenotype: A known effective dsRNA target if available.</w:t>
      </w:r>
    </w:p>
    <w:p w14:paraId="5713E08B">
      <w:pPr>
        <w:rPr>
          <w:rFonts w:hint="default"/>
        </w:rPr>
      </w:pPr>
      <w:r>
        <w:rPr>
          <w:rFonts w:hint="default"/>
        </w:rPr>
        <w:t>- Negative control: Insects fed on plants infected with the control virus (e.g., TMV-GFP).</w:t>
      </w:r>
    </w:p>
    <w:p w14:paraId="6893D507">
      <w:pPr>
        <w:rPr>
          <w:rFonts w:hint="default"/>
        </w:rPr>
      </w:pPr>
      <w:r>
        <w:rPr>
          <w:rFonts w:hint="default"/>
        </w:rPr>
        <w:t>- Validation logic: Significant reduction in target insect mRNA levels (measured by qRT-PCR) in insects fed on target-virus plants compared to control-virus plants indicates successful RNAi delivery via the plant.</w:t>
      </w:r>
    </w:p>
    <w:p w14:paraId="5274B99F">
      <w:pPr>
        <w:rPr>
          <w:rFonts w:hint="default"/>
        </w:rPr>
      </w:pPr>
      <w:r>
        <w:rPr>
          <w:rFonts w:hint="default"/>
        </w:rPr>
        <w:t>$</w:t>
      </w:r>
    </w:p>
    <w:p w14:paraId="412E50C0">
      <w:pPr>
        <w:rPr>
          <w:rFonts w:hint="default"/>
        </w:rPr>
      </w:pPr>
      <w:r>
        <w:rPr>
          <w:rFonts w:hint="default"/>
        </w:rPr>
        <w:t>Notes:</w:t>
      </w:r>
    </w:p>
    <w:p w14:paraId="11EE3E65">
      <w:pPr>
        <w:rPr>
          <w:rFonts w:hint="default"/>
        </w:rPr>
      </w:pPr>
      <w:r>
        <w:rPr>
          <w:rFonts w:hint="default"/>
        </w:rPr>
        <w:t>- Three confinement methods were tested: whole-plant cages, mesh bags on leaves, and leaf discs in multi-well plates. The leaf disc method was noted as particularly effective for nymphs.</w:t>
      </w:r>
    </w:p>
    <w:p w14:paraId="148A55B9">
      <w:pPr>
        <w:rPr>
          <w:rFonts w:hint="default"/>
        </w:rPr>
      </w:pPr>
      <w:r>
        <w:rPr>
          <w:rFonts w:hint="default"/>
        </w:rPr>
        <w:t>- Feeding duration before sampling is typically 3 days for gene expression analysis.</w:t>
      </w:r>
    </w:p>
    <w:p w14:paraId="0E52AD5E">
      <w:pPr>
        <w:rPr>
          <w:rFonts w:hint="default"/>
        </w:rPr>
      </w:pPr>
      <w:r>
        <w:rPr>
          <w:rFonts w:hint="default"/>
        </w:rPr>
        <w:t>- For tissue-specific analysis, dissect guts from insects after feeding.</w:t>
      </w:r>
    </w:p>
    <w:p w14:paraId="3BBEA518">
      <w:pPr>
        <w:rPr>
          <w:rFonts w:hint="default"/>
        </w:rPr>
      </w:pPr>
      <w:r>
        <w:rPr>
          <w:rFonts w:hint="default"/>
        </w:rPr>
        <w:t>{}</w:t>
      </w:r>
    </w:p>
    <w:p w14:paraId="5477C3F7">
      <w:pPr>
        <w:rPr>
          <w:rFonts w:hint="default"/>
        </w:rPr>
      </w:pPr>
      <w:r>
        <w:rPr>
          <w:rFonts w:hint="default"/>
        </w:rPr>
        <w:t>$</w:t>
      </w:r>
    </w:p>
    <w:p w14:paraId="44382EB1">
      <w:pPr>
        <w:rPr>
          <w:rFonts w:hint="default"/>
        </w:rPr>
      </w:pPr>
      <w:r>
        <w:rPr>
          <w:rFonts w:hint="default"/>
        </w:rPr>
        <w:t>Sub-protocol 4: Insect Feeding Bioassays on Virus-Infected Plants (Continued - Methods and Sampling)</w:t>
      </w:r>
    </w:p>
    <w:p w14:paraId="4217E7BE">
      <w:pPr>
        <w:rPr>
          <w:rFonts w:hint="default"/>
        </w:rPr>
      </w:pPr>
      <w:r>
        <w:rPr>
          <w:rFonts w:hint="default"/>
        </w:rPr>
        <w:t>[PROTOCOL_STAGE=TREATMENT_DELIVERY]</w:t>
      </w:r>
    </w:p>
    <w:p w14:paraId="2B9D177B">
      <w:pPr>
        <w:rPr>
          <w:rFonts w:hint="default"/>
        </w:rPr>
      </w:pPr>
      <w:r>
        <w:rPr>
          <w:rFonts w:hint="default"/>
        </w:rPr>
        <w:t>$</w:t>
      </w:r>
    </w:p>
    <w:p w14:paraId="1AB0598C">
      <w:pPr>
        <w:rPr>
          <w:rFonts w:hint="default"/>
        </w:rPr>
      </w:pPr>
      <w:r>
        <w:rPr>
          <w:rFonts w:hint="default"/>
        </w:rPr>
        <w:t>Applicable_when:</w:t>
      </w:r>
    </w:p>
    <w:p w14:paraId="5482D106">
      <w:pPr>
        <w:rPr>
          <w:rFonts w:hint="default"/>
        </w:rPr>
      </w:pPr>
      <w:r>
        <w:rPr>
          <w:rFonts w:hint="default"/>
        </w:rPr>
        <w:t>- (Continuation) Setting up the specific feeding assays and collecting samples.</w:t>
      </w:r>
    </w:p>
    <w:p w14:paraId="4D4E3934">
      <w:pPr>
        <w:rPr>
          <w:rFonts w:hint="default"/>
        </w:rPr>
      </w:pPr>
      <w:r>
        <w:rPr>
          <w:rFonts w:hint="default"/>
        </w:rPr>
        <w:t>$</w:t>
      </w:r>
    </w:p>
    <w:p w14:paraId="59A8695D">
      <w:pPr>
        <w:rPr>
          <w:rFonts w:hint="default"/>
        </w:rPr>
      </w:pPr>
      <w:r>
        <w:rPr>
          <w:rFonts w:hint="default"/>
        </w:rPr>
        <w:t>Purpose:</w:t>
      </w:r>
    </w:p>
    <w:p w14:paraId="0AC4264E">
      <w:pPr>
        <w:rPr>
          <w:rFonts w:hint="default"/>
        </w:rPr>
      </w:pPr>
      <w:r>
        <w:rPr>
          <w:rFonts w:hint="default"/>
        </w:rPr>
        <w:t>- To implement the different bioassay setups and to collect insects for molecular or phenotypic analysis.</w:t>
      </w:r>
    </w:p>
    <w:p w14:paraId="331719C2">
      <w:pPr>
        <w:rPr>
          <w:rFonts w:hint="default"/>
        </w:rPr>
      </w:pPr>
      <w:r>
        <w:rPr>
          <w:rFonts w:hint="default"/>
        </w:rPr>
        <w:t>$</w:t>
      </w:r>
    </w:p>
    <w:p w14:paraId="7EDF7942">
      <w:pPr>
        <w:rPr>
          <w:rFonts w:hint="default"/>
        </w:rPr>
      </w:pPr>
      <w:r>
        <w:rPr>
          <w:rFonts w:hint="default"/>
        </w:rPr>
        <w:t>Procedure:</w:t>
      </w:r>
    </w:p>
    <w:p w14:paraId="591B1D7B">
      <w:pPr>
        <w:rPr>
          <w:rFonts w:hint="default"/>
        </w:rPr>
      </w:pPr>
      <w:r>
        <w:rPr>
          <w:rFonts w:hint="default"/>
        </w:rPr>
        <w:t>1. (Continued) Choose a confinement method:</w:t>
      </w:r>
    </w:p>
    <w:p w14:paraId="58BECBBE">
      <w:pPr>
        <w:rPr>
          <w:rFonts w:hint="default"/>
        </w:rPr>
      </w:pPr>
      <w:r>
        <w:rPr>
          <w:rFonts w:hint="default"/>
        </w:rPr>
        <w:t xml:space="preserve">   a. Whole-plant cage: Confine teneral adults onto whole plants using cylindrical sleeve cages.</w:t>
      </w:r>
    </w:p>
    <w:p w14:paraId="1D70C6AF">
      <w:pPr>
        <w:rPr>
          <w:rFonts w:hint="default"/>
        </w:rPr>
      </w:pPr>
      <w:r>
        <w:rPr>
          <w:rFonts w:hint="default"/>
        </w:rPr>
        <w:t xml:space="preserve">   b. Leaf bag: Contain insects on specific leaves (inoculated or lower expanded) using mesh bags.</w:t>
      </w:r>
    </w:p>
    <w:p w14:paraId="1453BF28">
      <w:pPr>
        <w:rPr>
          <w:rFonts w:hint="default"/>
        </w:rPr>
      </w:pPr>
      <w:r>
        <w:rPr>
          <w:rFonts w:hint="default"/>
        </w:rPr>
        <w:t xml:space="preserve">   c. Leaf disc: Cut leaf discs from infected plants, place them on MS medium in wells of a 12-well plate, and place nymphs on the discs.</w:t>
      </w:r>
    </w:p>
    <w:p w14:paraId="0D2D6651">
      <w:pPr>
        <w:rPr>
          <w:rFonts w:hint="default"/>
        </w:rPr>
      </w:pPr>
      <w:r>
        <w:rPr>
          <w:rFonts w:hint="default"/>
        </w:rPr>
        <w:t>2. For gene knockdown assays: Allow insects (nymphs on discs or adults on whole plants) to feed for 3 days.</w:t>
      </w:r>
    </w:p>
    <w:p w14:paraId="4E7AB3B6">
      <w:pPr>
        <w:rPr>
          <w:rFonts w:hint="default"/>
        </w:rPr>
      </w:pPr>
      <w:r>
        <w:rPr>
          <w:rFonts w:hint="default"/>
        </w:rPr>
        <w:t>3. Collect insects individually or in pools. For tissue-specific analysis (e.g., gut), dissect insects after feeding.</w:t>
      </w:r>
    </w:p>
    <w:p w14:paraId="346A596B">
      <w:pPr>
        <w:rPr>
          <w:rFonts w:hint="default"/>
        </w:rPr>
      </w:pPr>
      <w:r>
        <w:rPr>
          <w:rFonts w:hint="default"/>
        </w:rPr>
        <w:t>4. Immediately freeze collected insects or tissues in liquid nitrogen or preserve in RNA stabilization reagent for subsequent RNA extraction.</w:t>
      </w:r>
    </w:p>
    <w:p w14:paraId="1E4A7657">
      <w:pPr>
        <w:rPr>
          <w:rFonts w:hint="default"/>
        </w:rPr>
      </w:pPr>
      <w:r>
        <w:rPr>
          <w:rFonts w:hint="default"/>
        </w:rPr>
        <w:t>5. For phenotypic assays (mortality/fecundity): Confine 20 teneral adults on whole tomatillo plants in cylindrical cages.</w:t>
      </w:r>
    </w:p>
    <w:p w14:paraId="008DF008">
      <w:pPr>
        <w:rPr>
          <w:rFonts w:hint="default"/>
        </w:rPr>
      </w:pPr>
      <w:r>
        <w:rPr>
          <w:rFonts w:hint="default"/>
        </w:rPr>
        <w:t>6. Count surviving adults on day 7 post-confinement and remove them.</w:t>
      </w:r>
    </w:p>
    <w:p w14:paraId="2EFDF4F4">
      <w:pPr>
        <w:rPr>
          <w:rFonts w:hint="default"/>
        </w:rPr>
      </w:pPr>
      <w:r>
        <w:rPr>
          <w:rFonts w:hint="default"/>
        </w:rPr>
        <w:t>7. Maintain the plants and count the number of nymph progeny produced on the plants 14 days after adult removal.</w:t>
      </w:r>
    </w:p>
    <w:p w14:paraId="15D81B33">
      <w:pPr>
        <w:rPr>
          <w:rFonts w:hint="default"/>
        </w:rPr>
      </w:pPr>
      <w:r>
        <w:rPr>
          <w:rFonts w:hint="default"/>
        </w:rPr>
        <w:t>$</w:t>
      </w:r>
    </w:p>
    <w:p w14:paraId="3AFA670F">
      <w:pPr>
        <w:rPr>
          <w:rFonts w:hint="default"/>
        </w:rPr>
      </w:pPr>
      <w:r>
        <w:rPr>
          <w:rFonts w:hint="default"/>
        </w:rPr>
        <w:t>Key_materials_and_equipment:</w:t>
      </w:r>
    </w:p>
    <w:p w14:paraId="7930D1B3">
      <w:pPr>
        <w:rPr>
          <w:rFonts w:hint="default"/>
        </w:rPr>
      </w:pPr>
      <w:r>
        <w:rPr>
          <w:rFonts w:hint="default"/>
        </w:rPr>
        <w:t>- (Same as previous segment)</w:t>
      </w:r>
    </w:p>
    <w:p w14:paraId="4C6DA14B">
      <w:pPr>
        <w:rPr>
          <w:rFonts w:hint="default"/>
        </w:rPr>
      </w:pPr>
      <w:r>
        <w:rPr>
          <w:rFonts w:hint="default"/>
        </w:rPr>
        <w:t>- Liquid nitrogen and storage tubes.</w:t>
      </w:r>
    </w:p>
    <w:p w14:paraId="0CF5584E">
      <w:pPr>
        <w:rPr>
          <w:rFonts w:hint="default"/>
        </w:rPr>
      </w:pPr>
      <w:r>
        <w:rPr>
          <w:rFonts w:hint="default"/>
        </w:rPr>
        <w:t>$</w:t>
      </w:r>
    </w:p>
    <w:p w14:paraId="65D73C97">
      <w:pPr>
        <w:rPr>
          <w:rFonts w:hint="default"/>
        </w:rPr>
      </w:pPr>
      <w:r>
        <w:rPr>
          <w:rFonts w:hint="default"/>
        </w:rPr>
        <w:t>Controls_and_validation:</w:t>
      </w:r>
    </w:p>
    <w:p w14:paraId="54C14B1B">
      <w:pPr>
        <w:rPr>
          <w:rFonts w:hint="default"/>
        </w:rPr>
      </w:pPr>
      <w:r>
        <w:rPr>
          <w:rFonts w:hint="default"/>
        </w:rPr>
        <w:t>- (Same as previous segment)</w:t>
      </w:r>
    </w:p>
    <w:p w14:paraId="0B11EBD3">
      <w:pPr>
        <w:rPr>
          <w:rFonts w:hint="default"/>
        </w:rPr>
      </w:pPr>
      <w:r>
        <w:rPr>
          <w:rFonts w:hint="default"/>
        </w:rPr>
        <w:t>$</w:t>
      </w:r>
    </w:p>
    <w:p w14:paraId="4D9CAA97">
      <w:pPr>
        <w:rPr>
          <w:rFonts w:hint="default"/>
        </w:rPr>
      </w:pPr>
      <w:r>
        <w:rPr>
          <w:rFonts w:hint="default"/>
        </w:rPr>
        <w:t>Notes:</w:t>
      </w:r>
    </w:p>
    <w:p w14:paraId="37DBE1B6">
      <w:pPr>
        <w:rPr>
          <w:rFonts w:hint="default"/>
        </w:rPr>
      </w:pPr>
      <w:r>
        <w:rPr>
          <w:rFonts w:hint="default"/>
        </w:rPr>
        <w:t>- Use plants at a consistent infection stage (14 dpi) across experiments.</w:t>
      </w:r>
    </w:p>
    <w:p w14:paraId="6CA17A4F">
      <w:pPr>
        <w:rPr>
          <w:rFonts w:hint="default"/>
        </w:rPr>
      </w:pPr>
      <w:r>
        <w:rPr>
          <w:rFonts w:hint="default"/>
        </w:rPr>
        <w:t>- Replicate experiments at least three times with multiple biological replicates (e.g., five plants per treatment).</w:t>
      </w:r>
    </w:p>
    <w:p w14:paraId="10167BCC">
      <w:pPr>
        <w:rPr>
          <w:rFonts w:hint="default"/>
        </w:rPr>
      </w:pPr>
      <w:r>
        <w:rPr>
          <w:rFonts w:hint="default"/>
        </w:rPr>
        <w:t>- For qRT-PCR, design primers that amplify regions of the target mRNA *outside* the sequence cloned into the virus to avoid detecting viral transcripts.</w:t>
      </w:r>
    </w:p>
    <w:p w14:paraId="623C36F4">
      <w:pPr>
        <w:rPr>
          <w:rFonts w:hint="default"/>
        </w:rPr>
      </w:pPr>
      <w:r>
        <w:rPr>
          <w:rFonts w:hint="default"/>
        </w:rPr>
        <w:t>{}</w:t>
      </w:r>
    </w:p>
    <w:p w14:paraId="1F08F4D9">
      <w:pPr>
        <w:rPr>
          <w:rFonts w:hint="default"/>
        </w:rPr>
      </w:pPr>
      <w:r>
        <w:rPr>
          <w:rFonts w:hint="default"/>
        </w:rPr>
        <w:t>$</w:t>
      </w:r>
    </w:p>
    <w:p w14:paraId="77D3F2B8">
      <w:pPr>
        <w:rPr>
          <w:rFonts w:hint="default"/>
        </w:rPr>
      </w:pPr>
      <w:r>
        <w:rPr>
          <w:rFonts w:hint="default"/>
        </w:rPr>
        <w:t>Sub-protocol 5: Molecular Analysis of RNAi in Plants and Insects</w:t>
      </w:r>
    </w:p>
    <w:p w14:paraId="0795F078">
      <w:pPr>
        <w:rPr>
          <w:rFonts w:hint="default"/>
        </w:rPr>
      </w:pPr>
      <w:r>
        <w:rPr>
          <w:rFonts w:hint="default"/>
        </w:rPr>
        <w:t>[PROTOCOL_STAGE=PROCESSING_ANALYSIS]</w:t>
      </w:r>
    </w:p>
    <w:p w14:paraId="2B0FD714">
      <w:pPr>
        <w:rPr>
          <w:rFonts w:hint="default"/>
        </w:rPr>
      </w:pPr>
      <w:r>
        <w:rPr>
          <w:rFonts w:hint="default"/>
        </w:rPr>
        <w:t>$</w:t>
      </w:r>
    </w:p>
    <w:p w14:paraId="4682B61D">
      <w:pPr>
        <w:rPr>
          <w:rFonts w:hint="default"/>
        </w:rPr>
      </w:pPr>
      <w:r>
        <w:rPr>
          <w:rFonts w:hint="default"/>
        </w:rPr>
        <w:t>Applicable_when:</w:t>
      </w:r>
    </w:p>
    <w:p w14:paraId="088E0235">
      <w:pPr>
        <w:rPr>
          <w:rFonts w:hint="default"/>
        </w:rPr>
      </w:pPr>
      <w:r>
        <w:rPr>
          <w:rFonts w:hint="default"/>
        </w:rPr>
        <w:t>- Confirming virus infection and siRNA production in plants.</w:t>
      </w:r>
    </w:p>
    <w:p w14:paraId="62D1DDDE">
      <w:pPr>
        <w:rPr>
          <w:rFonts w:hint="default"/>
        </w:rPr>
      </w:pPr>
      <w:r>
        <w:rPr>
          <w:rFonts w:hint="default"/>
        </w:rPr>
        <w:t>- Quantifying target gene knockdown in insects.</w:t>
      </w:r>
    </w:p>
    <w:p w14:paraId="1C9E47C5">
      <w:pPr>
        <w:rPr>
          <w:rFonts w:hint="default"/>
        </w:rPr>
      </w:pPr>
      <w:r>
        <w:rPr>
          <w:rFonts w:hint="default"/>
        </w:rPr>
        <w:t>- Detecting viral RNA within insects.</w:t>
      </w:r>
    </w:p>
    <w:p w14:paraId="1E7847A3">
      <w:pPr>
        <w:rPr>
          <w:rFonts w:hint="default"/>
        </w:rPr>
      </w:pPr>
      <w:r>
        <w:rPr>
          <w:rFonts w:hint="default"/>
        </w:rPr>
        <w:t>$</w:t>
      </w:r>
    </w:p>
    <w:p w14:paraId="22D00D5E">
      <w:pPr>
        <w:rPr>
          <w:rFonts w:hint="default"/>
        </w:rPr>
      </w:pPr>
      <w:r>
        <w:rPr>
          <w:rFonts w:hint="default"/>
        </w:rPr>
        <w:t>Purpose:</w:t>
      </w:r>
    </w:p>
    <w:p w14:paraId="73DF52DF">
      <w:pPr>
        <w:rPr>
          <w:rFonts w:hint="default"/>
        </w:rPr>
      </w:pPr>
      <w:r>
        <w:rPr>
          <w:rFonts w:hint="default"/>
        </w:rPr>
        <w:t>- To validate the mechanism: recombinant virus generates siRNAs in the plant, and these are acquired by the feeding insect, leading to specific mRNA degradation.</w:t>
      </w:r>
    </w:p>
    <w:p w14:paraId="2832384B">
      <w:pPr>
        <w:rPr>
          <w:rFonts w:hint="default"/>
        </w:rPr>
      </w:pPr>
      <w:r>
        <w:rPr>
          <w:rFonts w:hint="default"/>
        </w:rPr>
        <w:t>$</w:t>
      </w:r>
    </w:p>
    <w:p w14:paraId="656BC669">
      <w:pPr>
        <w:rPr>
          <w:rFonts w:hint="default"/>
        </w:rPr>
      </w:pPr>
      <w:r>
        <w:rPr>
          <w:rFonts w:hint="default"/>
        </w:rPr>
        <w:t>Procedure:</w:t>
      </w:r>
    </w:p>
    <w:p w14:paraId="0720CA52">
      <w:pPr>
        <w:rPr>
          <w:rFonts w:hint="default"/>
        </w:rPr>
      </w:pPr>
      <w:r>
        <w:rPr>
          <w:rFonts w:hint="default"/>
        </w:rPr>
        <w:t>1. Small RNA Analysis in Plants: Extract small RNAs from virus-infected plant leaves using a PEG-NaCl precipitation method. Perform northern hybridization using a radiolabeled (32P-UTP) probe complementary to the inserted insect sequence to detect virus-derived siRNAs.</w:t>
      </w:r>
    </w:p>
    <w:p w14:paraId="35D14D1B">
      <w:pPr>
        <w:rPr>
          <w:rFonts w:hint="default"/>
        </w:rPr>
      </w:pPr>
      <w:r>
        <w:rPr>
          <w:rFonts w:hint="default"/>
        </w:rPr>
        <w:t>$</w:t>
      </w:r>
    </w:p>
    <w:p w14:paraId="171496B0">
      <w:pPr>
        <w:rPr>
          <w:rFonts w:hint="default"/>
        </w:rPr>
      </w:pPr>
      <w:r>
        <w:rPr>
          <w:rFonts w:hint="default"/>
        </w:rPr>
        <w:t>Key_materials_and_equipment:</w:t>
      </w:r>
    </w:p>
    <w:p w14:paraId="6CF1A94A">
      <w:pPr>
        <w:rPr>
          <w:rFonts w:hint="default"/>
        </w:rPr>
      </w:pPr>
      <w:r>
        <w:rPr>
          <w:rFonts w:hint="default"/>
        </w:rPr>
        <w:t>- Reagents for total and small RNA extraction (Trizol, PEG8000, NaCl, ethanol).</w:t>
      </w:r>
    </w:p>
    <w:p w14:paraId="5E239C37">
      <w:pPr>
        <w:rPr>
          <w:rFonts w:hint="default"/>
        </w:rPr>
      </w:pPr>
      <w:r>
        <w:rPr>
          <w:rFonts w:hint="default"/>
        </w:rPr>
        <w:t>- Equipment for northern blotting.</w:t>
      </w:r>
    </w:p>
    <w:p w14:paraId="184D0E27">
      <w:pPr>
        <w:rPr>
          <w:rFonts w:hint="default"/>
        </w:rPr>
      </w:pPr>
      <w:r>
        <w:rPr>
          <w:rFonts w:hint="default"/>
        </w:rPr>
        <w:t>- Radioactive or non-radioactive labeling kit for probe synthesis.</w:t>
      </w:r>
    </w:p>
    <w:p w14:paraId="2A54BD45">
      <w:pPr>
        <w:rPr>
          <w:rFonts w:hint="default"/>
        </w:rPr>
      </w:pPr>
      <w:r>
        <w:rPr>
          <w:rFonts w:hint="default"/>
        </w:rPr>
        <w:t>- Real-time PCR instrument.</w:t>
      </w:r>
    </w:p>
    <w:p w14:paraId="03A16866">
      <w:pPr>
        <w:rPr>
          <w:rFonts w:hint="default"/>
        </w:rPr>
      </w:pPr>
      <w:r>
        <w:rPr>
          <w:rFonts w:hint="default"/>
        </w:rPr>
        <w:t>- qRT-PCR reagents (Fast SYBR Green Master Mix).</w:t>
      </w:r>
    </w:p>
    <w:p w14:paraId="6A7183CD">
      <w:pPr>
        <w:rPr>
          <w:rFonts w:hint="default"/>
        </w:rPr>
      </w:pPr>
      <w:r>
        <w:rPr>
          <w:rFonts w:hint="default"/>
        </w:rPr>
        <w:t>- cDNA synthesis reagents (random hexamers, gene-specific primers).</w:t>
      </w:r>
    </w:p>
    <w:p w14:paraId="74F1BF3A">
      <w:pPr>
        <w:rPr>
          <w:rFonts w:hint="default"/>
        </w:rPr>
      </w:pPr>
      <w:r>
        <w:rPr>
          <w:rFonts w:hint="default"/>
        </w:rPr>
        <w:t>- B. cockerelli gene-specific qPCR primers designed to regions *outside* the viral insert.</w:t>
      </w:r>
    </w:p>
    <w:p w14:paraId="5782E49D">
      <w:pPr>
        <w:rPr>
          <w:rFonts w:hint="default"/>
        </w:rPr>
      </w:pPr>
      <w:r>
        <w:rPr>
          <w:rFonts w:hint="default"/>
        </w:rPr>
        <w:t>$</w:t>
      </w:r>
    </w:p>
    <w:p w14:paraId="4158E0C5">
      <w:pPr>
        <w:rPr>
          <w:rFonts w:hint="default"/>
        </w:rPr>
      </w:pPr>
      <w:r>
        <w:rPr>
          <w:rFonts w:hint="default"/>
        </w:rPr>
        <w:t>Controls_and_validation:</w:t>
      </w:r>
    </w:p>
    <w:p w14:paraId="693742F7">
      <w:pPr>
        <w:rPr>
          <w:rFonts w:hint="default"/>
        </w:rPr>
      </w:pPr>
      <w:r>
        <w:rPr>
          <w:rFonts w:hint="default"/>
        </w:rPr>
        <w:t>- Positive control for plant siRNA: Plants infected with recombinant virus should show a siRNA signal.</w:t>
      </w:r>
    </w:p>
    <w:p w14:paraId="38472098">
      <w:pPr>
        <w:rPr>
          <w:rFonts w:hint="default"/>
        </w:rPr>
      </w:pPr>
      <w:r>
        <w:rPr>
          <w:rFonts w:hint="default"/>
        </w:rPr>
        <w:t>- Negative control for plant siRNA: Mock-infected plants or GFP-virus plants (when probing for insect sequence).</w:t>
      </w:r>
    </w:p>
    <w:p w14:paraId="15D780F6">
      <w:pPr>
        <w:rPr>
          <w:rFonts w:hint="default"/>
        </w:rPr>
      </w:pPr>
      <w:r>
        <w:rPr>
          <w:rFonts w:hint="default"/>
        </w:rPr>
        <w:t>- Positive control for insect qRT-PCR: Insects fed on control (GFP) virus plants.</w:t>
      </w:r>
    </w:p>
    <w:p w14:paraId="34C6FD2C">
      <w:pPr>
        <w:rPr>
          <w:rFonts w:hint="default"/>
        </w:rPr>
      </w:pPr>
      <w:r>
        <w:rPr>
          <w:rFonts w:hint="default"/>
        </w:rPr>
        <w:t>- Negative control for insect qRT-PCR: No template control in qPCR plate.</w:t>
      </w:r>
    </w:p>
    <w:p w14:paraId="69A14D12">
      <w:pPr>
        <w:rPr>
          <w:rFonts w:hint="default"/>
        </w:rPr>
      </w:pPr>
      <w:r>
        <w:rPr>
          <w:rFonts w:hint="default"/>
        </w:rPr>
        <w:t>- Validation logic: Detection of siRNAs homologous to the insect gene in plants confirms processing of viral dsRNA. A significant reduction in target mRNA levels in insects fed on target-virus plants versus control-virus plants confirms RNAi. Detection of viral RNA in insects confirms acquisition.</w:t>
      </w:r>
    </w:p>
    <w:p w14:paraId="4501ED5C">
      <w:pPr>
        <w:rPr>
          <w:rFonts w:hint="default"/>
        </w:rPr>
      </w:pPr>
      <w:r>
        <w:rPr>
          <w:rFonts w:hint="default"/>
        </w:rPr>
        <w:t>$</w:t>
      </w:r>
    </w:p>
    <w:p w14:paraId="7702D09B">
      <w:pPr>
        <w:rPr>
          <w:rFonts w:hint="default"/>
        </w:rPr>
      </w:pPr>
      <w:r>
        <w:rPr>
          <w:rFonts w:hint="default"/>
        </w:rPr>
        <w:t>Notes:</w:t>
      </w:r>
    </w:p>
    <w:p w14:paraId="20E66CE2">
      <w:pPr>
        <w:rPr>
          <w:rFonts w:hint="default"/>
        </w:rPr>
      </w:pPr>
      <w:r>
        <w:rPr>
          <w:rFonts w:hint="default"/>
        </w:rPr>
        <w:t>- Small RNA analysis confirms the plant side of the mechanism.</w:t>
      </w:r>
    </w:p>
    <w:p w14:paraId="2082EAC5">
      <w:pPr>
        <w:rPr>
          <w:rFonts w:hint="default"/>
        </w:rPr>
      </w:pPr>
      <w:r>
        <w:rPr>
          <w:rFonts w:hint="default"/>
        </w:rPr>
        <w:t>- For insect gene knockdown, use appropriate internal reference genes (e.g., BC-Actin for BC-ATPase knockdown; BC-rRNA for BC-Actin knockdown) validated for stable expression.</w:t>
      </w:r>
    </w:p>
    <w:p w14:paraId="67640EE1">
      <w:pPr>
        <w:rPr>
          <w:rFonts w:hint="default"/>
        </w:rPr>
      </w:pPr>
      <w:r>
        <w:rPr>
          <w:rFonts w:hint="default"/>
        </w:rPr>
        <w:t>- Analyze data using the comparative 2-ΔΔCT method, using insects fed on GFP-virus plants as the reference group.</w:t>
      </w:r>
    </w:p>
    <w:p w14:paraId="3FB263A0">
      <w:pPr>
        <w:rPr>
          <w:rFonts w:hint="default"/>
        </w:rPr>
      </w:pPr>
      <w:r>
        <w:rPr>
          <w:rFonts w:hint="default"/>
        </w:rPr>
        <w:t>{}</w:t>
      </w:r>
    </w:p>
    <w:p w14:paraId="1401E5BC">
      <w:pPr>
        <w:rPr>
          <w:rFonts w:hint="default"/>
        </w:rPr>
      </w:pPr>
      <w:r>
        <w:rPr>
          <w:rFonts w:hint="default"/>
        </w:rPr>
        <w:t>$</w:t>
      </w:r>
    </w:p>
    <w:p w14:paraId="033AA664">
      <w:pPr>
        <w:rPr>
          <w:rFonts w:hint="default"/>
        </w:rPr>
      </w:pPr>
      <w:r>
        <w:rPr>
          <w:rFonts w:hint="default"/>
        </w:rPr>
        <w:t>Sub-protocol 5: Molecular Analysis of RNAi in Plants and Insects (Continued - Insect Gene Knockdown and Virus Uptake)</w:t>
      </w:r>
    </w:p>
    <w:p w14:paraId="0564B705">
      <w:pPr>
        <w:rPr>
          <w:rFonts w:hint="default"/>
        </w:rPr>
      </w:pPr>
      <w:r>
        <w:rPr>
          <w:rFonts w:hint="default"/>
        </w:rPr>
        <w:t>[PROTOCOL_STAGE=PROCESSING_ANALYSIS]</w:t>
      </w:r>
    </w:p>
    <w:p w14:paraId="5F85020E">
      <w:pPr>
        <w:rPr>
          <w:rFonts w:hint="default"/>
        </w:rPr>
      </w:pPr>
      <w:r>
        <w:rPr>
          <w:rFonts w:hint="default"/>
        </w:rPr>
        <w:t>$</w:t>
      </w:r>
    </w:p>
    <w:p w14:paraId="753CF06B">
      <w:pPr>
        <w:rPr>
          <w:rFonts w:hint="default"/>
        </w:rPr>
      </w:pPr>
      <w:r>
        <w:rPr>
          <w:rFonts w:hint="default"/>
        </w:rPr>
        <w:t>Applicable_when:</w:t>
      </w:r>
    </w:p>
    <w:p w14:paraId="778AA501">
      <w:pPr>
        <w:rPr>
          <w:rFonts w:hint="default"/>
        </w:rPr>
      </w:pPr>
      <w:r>
        <w:rPr>
          <w:rFonts w:hint="default"/>
        </w:rPr>
        <w:t>- (Continuation) Quantifying insect gene expression and detecting viral RNA in insects.</w:t>
      </w:r>
    </w:p>
    <w:p w14:paraId="2264C31B">
      <w:pPr>
        <w:rPr>
          <w:rFonts w:hint="default"/>
        </w:rPr>
      </w:pPr>
      <w:r>
        <w:rPr>
          <w:rFonts w:hint="default"/>
        </w:rPr>
        <w:t>$</w:t>
      </w:r>
    </w:p>
    <w:p w14:paraId="34F93C0A">
      <w:pPr>
        <w:rPr>
          <w:rFonts w:hint="default"/>
        </w:rPr>
      </w:pPr>
      <w:r>
        <w:rPr>
          <w:rFonts w:hint="default"/>
        </w:rPr>
        <w:t>Purpose:</w:t>
      </w:r>
    </w:p>
    <w:p w14:paraId="4B1DE917">
      <w:pPr>
        <w:rPr>
          <w:rFonts w:hint="default"/>
        </w:rPr>
      </w:pPr>
      <w:r>
        <w:rPr>
          <w:rFonts w:hint="default"/>
        </w:rPr>
        <w:t>- To measure the efficacy of RNAi and to confirm ingestion of viral material.</w:t>
      </w:r>
    </w:p>
    <w:p w14:paraId="5CFC3E13">
      <w:pPr>
        <w:rPr>
          <w:rFonts w:hint="default"/>
        </w:rPr>
      </w:pPr>
      <w:r>
        <w:rPr>
          <w:rFonts w:hint="default"/>
        </w:rPr>
        <w:t>$</w:t>
      </w:r>
    </w:p>
    <w:p w14:paraId="260D5AE4">
      <w:pPr>
        <w:rPr>
          <w:rFonts w:hint="default"/>
        </w:rPr>
      </w:pPr>
      <w:r>
        <w:rPr>
          <w:rFonts w:hint="default"/>
        </w:rPr>
        <w:t>Procedure:</w:t>
      </w:r>
    </w:p>
    <w:p w14:paraId="3F4FB635">
      <w:pPr>
        <w:rPr>
          <w:rFonts w:hint="default"/>
        </w:rPr>
      </w:pPr>
      <w:r>
        <w:rPr>
          <w:rFonts w:hint="default"/>
        </w:rPr>
        <w:t>1. (Continued) RNAi Efficacy in Insects:</w:t>
      </w:r>
    </w:p>
    <w:p w14:paraId="74B18D05">
      <w:pPr>
        <w:rPr>
          <w:rFonts w:hint="default"/>
        </w:rPr>
      </w:pPr>
      <w:r>
        <w:rPr>
          <w:rFonts w:hint="default"/>
        </w:rPr>
        <w:t xml:space="preserve">   a. Extract total RNA from individual or pooled B. cockerelli fed on test and control plants.</w:t>
      </w:r>
    </w:p>
    <w:p w14:paraId="15B11FFC">
      <w:pPr>
        <w:rPr>
          <w:rFonts w:hint="default"/>
        </w:rPr>
      </w:pPr>
      <w:r>
        <w:rPr>
          <w:rFonts w:hint="default"/>
        </w:rPr>
        <w:t xml:space="preserve">   b. Synthesize cDNA.</w:t>
      </w:r>
    </w:p>
    <w:p w14:paraId="0D7C867C">
      <w:pPr>
        <w:rPr>
          <w:rFonts w:hint="default"/>
        </w:rPr>
      </w:pPr>
      <w:r>
        <w:rPr>
          <w:rFonts w:hint="default"/>
        </w:rPr>
        <w:t xml:space="preserve">   c. Perform quantitative real-time PCR (qRT-PCR) using primers specific for the target insect gene (BC-Actin or BC-ATPase) and a stable reference gene.</w:t>
      </w:r>
    </w:p>
    <w:p w14:paraId="685CC797">
      <w:pPr>
        <w:rPr>
          <w:rFonts w:hint="default"/>
        </w:rPr>
      </w:pPr>
      <w:r>
        <w:rPr>
          <w:rFonts w:hint="default"/>
        </w:rPr>
        <w:t xml:space="preserve">   d. Calculate relative mRNA abundance using the 2-ΔΔCT method.</w:t>
      </w:r>
    </w:p>
    <w:p w14:paraId="5ED6D96F">
      <w:pPr>
        <w:rPr>
          <w:rFonts w:hint="default"/>
        </w:rPr>
      </w:pPr>
      <w:r>
        <w:rPr>
          <w:rFonts w:hint="default"/>
        </w:rPr>
        <w:t>2. Viral RNA Detection in Insects:</w:t>
      </w:r>
    </w:p>
    <w:p w14:paraId="0A2DFE80">
      <w:pPr>
        <w:rPr>
          <w:rFonts w:hint="default"/>
        </w:rPr>
      </w:pPr>
      <w:r>
        <w:rPr>
          <w:rFonts w:hint="default"/>
        </w:rPr>
        <w:t xml:space="preserve">   a. Extract RNA from insects fed on virus-infected plants (e.g., TMV-GFP).</w:t>
      </w:r>
    </w:p>
    <w:p w14:paraId="104EDEF5">
      <w:pPr>
        <w:rPr>
          <w:rFonts w:hint="default"/>
        </w:rPr>
      </w:pPr>
      <w:r>
        <w:rPr>
          <w:rFonts w:hint="default"/>
        </w:rPr>
        <w:t xml:space="preserve">   b. Synthesize cDNA using different priming strategies: random hexamers (detects all RNA), or virus strand-specific primers.</w:t>
      </w:r>
    </w:p>
    <w:p w14:paraId="5030BF47">
      <w:pPr>
        <w:rPr>
          <w:rFonts w:hint="default"/>
        </w:rPr>
      </w:pPr>
      <w:r>
        <w:rPr>
          <w:rFonts w:hint="default"/>
        </w:rPr>
        <w:t xml:space="preserve">   c. Perform qPCR using primers specific for the reporter gene (e.g., GFP) present in the virus.</w:t>
      </w:r>
    </w:p>
    <w:p w14:paraId="3E5FC859">
      <w:pPr>
        <w:rPr>
          <w:rFonts w:hint="default"/>
        </w:rPr>
      </w:pPr>
      <w:r>
        <w:rPr>
          <w:rFonts w:hint="default"/>
        </w:rPr>
        <w:t xml:space="preserve">   d. Normalize viral RNA levels to an insect internal control mRNA (e.g., BC-Actin).</w:t>
      </w:r>
    </w:p>
    <w:p w14:paraId="75C5B90E">
      <w:pPr>
        <w:rPr>
          <w:rFonts w:hint="default"/>
        </w:rPr>
      </w:pPr>
      <w:r>
        <w:rPr>
          <w:rFonts w:hint="default"/>
        </w:rPr>
        <w:t>$</w:t>
      </w:r>
    </w:p>
    <w:p w14:paraId="595FA8D8">
      <w:pPr>
        <w:rPr>
          <w:rFonts w:hint="default"/>
        </w:rPr>
      </w:pPr>
      <w:r>
        <w:rPr>
          <w:rFonts w:hint="default"/>
        </w:rPr>
        <w:t>Key_materials_and_equipment:</w:t>
      </w:r>
    </w:p>
    <w:p w14:paraId="17A1126D">
      <w:pPr>
        <w:rPr>
          <w:rFonts w:hint="default"/>
        </w:rPr>
      </w:pPr>
      <w:r>
        <w:rPr>
          <w:rFonts w:hint="default"/>
        </w:rPr>
        <w:t>- (Same as previous segment)</w:t>
      </w:r>
    </w:p>
    <w:p w14:paraId="4087BD94">
      <w:pPr>
        <w:rPr>
          <w:rFonts w:hint="default"/>
        </w:rPr>
      </w:pPr>
      <w:r>
        <w:rPr>
          <w:rFonts w:hint="default"/>
        </w:rPr>
        <w:t>$</w:t>
      </w:r>
    </w:p>
    <w:p w14:paraId="31583C62">
      <w:pPr>
        <w:rPr>
          <w:rFonts w:hint="default"/>
        </w:rPr>
      </w:pPr>
      <w:r>
        <w:rPr>
          <w:rFonts w:hint="default"/>
        </w:rPr>
        <w:t>Controls_and_validation:</w:t>
      </w:r>
    </w:p>
    <w:p w14:paraId="3C17412A">
      <w:pPr>
        <w:rPr>
          <w:rFonts w:hint="default"/>
        </w:rPr>
      </w:pPr>
      <w:r>
        <w:rPr>
          <w:rFonts w:hint="default"/>
        </w:rPr>
        <w:t>- (Same as previous segment)</w:t>
      </w:r>
    </w:p>
    <w:p w14:paraId="23DCE07D">
      <w:pPr>
        <w:rPr>
          <w:rFonts w:hint="default"/>
        </w:rPr>
      </w:pPr>
      <w:r>
        <w:rPr>
          <w:rFonts w:hint="default"/>
        </w:rPr>
        <w:t>$</w:t>
      </w:r>
    </w:p>
    <w:p w14:paraId="53CD0D3A">
      <w:pPr>
        <w:rPr>
          <w:rFonts w:hint="default"/>
        </w:rPr>
      </w:pPr>
      <w:r>
        <w:rPr>
          <w:rFonts w:hint="default"/>
        </w:rPr>
        <w:t>Notes:</w:t>
      </w:r>
    </w:p>
    <w:p w14:paraId="528513FE">
      <w:pPr>
        <w:rPr>
          <w:rFonts w:hint="default"/>
        </w:rPr>
      </w:pPr>
      <w:r>
        <w:rPr>
          <w:rFonts w:hint="default"/>
        </w:rPr>
        <w:t>- Strand-specific cDNA synthesis can determine if positive- or negative-sense viral RNAs are present in the insect.</w:t>
      </w:r>
    </w:p>
    <w:p w14:paraId="67161D7A">
      <w:pPr>
        <w:rPr>
          <w:rFonts w:hint="default"/>
        </w:rPr>
      </w:pPr>
      <w:r>
        <w:rPr>
          <w:rFonts w:hint="default"/>
        </w:rPr>
        <w:t>- Northern hybridization can also be used to detect viral RNAs in insect total RNA extracts.</w:t>
      </w:r>
    </w:p>
    <w:p w14:paraId="7B398F3C">
      <w:pPr>
        <w:rPr>
          <w:rFonts w:hint="default"/>
        </w:rPr>
      </w:pPr>
      <w:r>
        <w:rPr>
          <w:rFonts w:hint="default"/>
        </w:rPr>
        <w:t>- Statistical analysis (e.g., Bonferroni t-test) should be performed to compare treatment and control groups.</w:t>
      </w:r>
    </w:p>
    <w:p w14:paraId="269A2670">
      <w:pPr>
        <w:rPr>
          <w:rFonts w:hint="default"/>
          <w:lang w:val="en-US" w:eastAsia="zh-CN"/>
        </w:rPr>
      </w:pPr>
      <w:r>
        <w:rPr>
          <w:rFonts w:hint="default"/>
        </w:rPr>
        <w:t>{}</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667C81"/>
    <w:rsid w:val="2E473FC8"/>
    <w:rsid w:val="6DF813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Emphasis"/>
    <w:basedOn w:val="7"/>
    <w:qFormat/>
    <w:uiPriority w:val="0"/>
    <w:rPr>
      <w:i/>
    </w:rPr>
  </w:style>
  <w:style w:type="character" w:styleId="9">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1737</Words>
  <Characters>10111</Characters>
  <Lines>0</Lines>
  <Paragraphs>0</Paragraphs>
  <TotalTime>9</TotalTime>
  <ScaleCrop>false</ScaleCrop>
  <LinksUpToDate>false</LinksUpToDate>
  <CharactersWithSpaces>11821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2026-01-19T08:35:00Z</dcterms:created>
  <dc:creator>DELL</dc:creator>
  <cp:lastModifiedBy>李宗桓</cp:lastModifiedBy>
  <dcterms:modified xsi:type="dcterms:W3CDTF">2026-01-20T08:23:28Z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eyJoZGlkIjoiYWVlYmU1NmYxYWM1MzkwYTkyM2MyOWY3NmQ4OTI3MWEiLCJ1c2VySWQiOiIxNzM5Mjk5NzkwIn0=</vt:lpwstr>
  </property>
  <property fmtid="{D5CDD505-2E9C-101B-9397-08002B2CF9AE}" pid="4" name="ICV">
    <vt:lpwstr>2B5C81D7E2EE4572980E6FAAAA524044_12</vt:lpwstr>
  </property>
</Properties>
</file>