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C96EB">
      <w:pPr>
        <w:rPr>
          <w:rFonts w:hint="default"/>
        </w:rPr>
      </w:pPr>
      <w:r>
        <w:rPr>
          <w:rFonts w:hint="default"/>
        </w:rPr>
        <w:t>{}</w:t>
      </w:r>
    </w:p>
    <w:p w14:paraId="6EC2AC87">
      <w:pPr>
        <w:rPr>
          <w:rFonts w:hint="default"/>
        </w:rPr>
      </w:pPr>
      <w:r>
        <w:rPr>
          <w:rFonts w:hint="default"/>
        </w:rPr>
        <w:t>$</w:t>
      </w:r>
    </w:p>
    <w:p w14:paraId="09A6157D">
      <w:pPr>
        <w:rPr>
          <w:rFonts w:hint="default"/>
        </w:rPr>
      </w:pPr>
      <w:r>
        <w:rPr>
          <w:rFonts w:hint="default"/>
        </w:rPr>
        <w:t>Title: Flock house virus as a vehicle for aphid Virus-induced gene silencing and a model for aphid biocontrol approaches</w:t>
      </w:r>
    </w:p>
    <w:p w14:paraId="5F1FF8AB">
      <w:pPr>
        <w:rPr>
          <w:rFonts w:hint="default"/>
        </w:rPr>
      </w:pPr>
      <w:r>
        <w:rPr>
          <w:rFonts w:hint="default"/>
        </w:rPr>
        <w:t>Source: Journal of Pest Science</w:t>
      </w:r>
    </w:p>
    <w:p w14:paraId="354A8A49">
      <w:pPr>
        <w:rPr>
          <w:rFonts w:hint="default"/>
        </w:rPr>
      </w:pPr>
      <w:r>
        <w:rPr>
          <w:rFonts w:hint="default"/>
        </w:rPr>
        <w:t>DOI: 10.1007/s10340-022-01499-z</w:t>
      </w:r>
    </w:p>
    <w:p w14:paraId="193481D1">
      <w:pPr>
        <w:rPr>
          <w:rFonts w:hint="default"/>
        </w:rPr>
      </w:pPr>
      <w:r>
        <w:rPr>
          <w:rFonts w:hint="default"/>
        </w:rPr>
        <w:t>Year: 2023</w:t>
      </w:r>
    </w:p>
    <w:p w14:paraId="5F850988">
      <w:pPr>
        <w:rPr>
          <w:rFonts w:hint="default"/>
        </w:rPr>
      </w:pPr>
      <w:r>
        <w:rPr>
          <w:rFonts w:hint="default"/>
        </w:rPr>
        <w:t>$</w:t>
      </w:r>
    </w:p>
    <w:p w14:paraId="25CB4A12">
      <w:pPr>
        <w:rPr>
          <w:rFonts w:hint="default"/>
        </w:rPr>
      </w:pPr>
      <w:r>
        <w:rPr>
          <w:rFonts w:hint="default"/>
        </w:rPr>
        <w:t>Metadata:</w:t>
      </w:r>
    </w:p>
    <w:p w14:paraId="2EA575A5">
      <w:pPr>
        <w:rPr>
          <w:rFonts w:hint="default"/>
        </w:rPr>
      </w:pPr>
      <w:r>
        <w:rPr>
          <w:rFonts w:hint="default"/>
        </w:rPr>
        <w:t>- Source: Journal of Pest Science</w:t>
      </w:r>
    </w:p>
    <w:p w14:paraId="2FCC0024">
      <w:pPr>
        <w:rPr>
          <w:rFonts w:hint="default"/>
        </w:rPr>
      </w:pPr>
      <w:r>
        <w:rPr>
          <w:rFonts w:hint="default"/>
        </w:rPr>
        <w:t>- DOI: 10.1007/s10340-022-01499-z</w:t>
      </w:r>
    </w:p>
    <w:p w14:paraId="471A78EA">
      <w:pPr>
        <w:rPr>
          <w:rFonts w:hint="default"/>
        </w:rPr>
      </w:pPr>
      <w:r>
        <w:rPr>
          <w:rFonts w:hint="default"/>
        </w:rPr>
        <w:t>- Year: 2023</w:t>
      </w:r>
    </w:p>
    <w:p w14:paraId="7DC0F103">
      <w:pPr>
        <w:rPr>
          <w:rFonts w:hint="default"/>
        </w:rPr>
      </w:pPr>
      <w:r>
        <w:rPr>
          <w:rFonts w:hint="default"/>
        </w:rPr>
        <w:t>- Journal: Journal of Pest Science</w:t>
      </w:r>
    </w:p>
    <w:p w14:paraId="66C8EEA1">
      <w:pPr>
        <w:rPr>
          <w:rFonts w:hint="default"/>
        </w:rPr>
      </w:pPr>
      <w:r>
        <w:rPr>
          <w:rFonts w:hint="default"/>
        </w:rPr>
        <w:t>- Scope: Viral vector engineering and delivery methodology</w:t>
      </w:r>
    </w:p>
    <w:p w14:paraId="2C523511">
      <w:pPr>
        <w:rPr>
          <w:rFonts w:hint="default"/>
        </w:rPr>
      </w:pPr>
      <w:r>
        <w:rPr>
          <w:rFonts w:hint="default"/>
        </w:rPr>
        <w:t>- Study_type: Experimental methodology</w:t>
      </w:r>
    </w:p>
    <w:p w14:paraId="17626BBB">
      <w:pPr>
        <w:rPr>
          <w:rFonts w:hint="default"/>
        </w:rPr>
      </w:pPr>
      <w:r>
        <w:rPr>
          <w:rFonts w:hint="default"/>
        </w:rPr>
        <w:t>- Target_context: Using an engineered insect virus (Flock House Virus) to deliver RNAi triggers to aphids via injection or oral feeding.</w:t>
      </w:r>
    </w:p>
    <w:p w14:paraId="2AE80D45">
      <w:pPr>
        <w:rPr>
          <w:rFonts w:hint="default"/>
        </w:rPr>
      </w:pPr>
      <w:r>
        <w:rPr>
          <w:rFonts w:hint="default"/>
        </w:rPr>
        <w:t>- Organism_or_system: Aphids: Myzus persicae, Rhopalosiphum maidis, Rhopalosiphum padi; Insect cell line: Drosophila S2 cells; Plant: Nicotiana benthamiana.</w:t>
      </w:r>
    </w:p>
    <w:p w14:paraId="40260BA7">
      <w:pPr>
        <w:rPr>
          <w:rFonts w:hint="default"/>
        </w:rPr>
      </w:pPr>
      <w:r>
        <w:rPr>
          <w:rFonts w:hint="default"/>
        </w:rPr>
        <w:t>- Developmental_stage: Synchronized aphids, 5 days old.</w:t>
      </w:r>
    </w:p>
    <w:p w14:paraId="6CBC9AD2">
      <w:pPr>
        <w:rPr>
          <w:rFonts w:hint="default"/>
        </w:rPr>
      </w:pPr>
      <w:r>
        <w:rPr>
          <w:rFonts w:hint="default"/>
        </w:rPr>
        <w:t>- Delivery_mode: Intrathoracic microinjection or oral membrane feeding of purified virus particles (virions).</w:t>
      </w:r>
    </w:p>
    <w:p w14:paraId="4B375010">
      <w:pPr>
        <w:rPr>
          <w:rFonts w:hint="default"/>
        </w:rPr>
      </w:pPr>
      <w:r>
        <w:rPr>
          <w:rFonts w:hint="default"/>
        </w:rPr>
        <w:t>- Molecule_or_intervention_type: Engineered Flock House Virus (FHV) virions containing defective interfering RNA (DI-634) encoding target aphid gene fragments.</w:t>
      </w:r>
    </w:p>
    <w:p w14:paraId="7436EE98">
      <w:pPr>
        <w:rPr>
          <w:rFonts w:hint="default"/>
        </w:rPr>
      </w:pPr>
      <w:r>
        <w:rPr>
          <w:rFonts w:hint="default"/>
        </w:rPr>
        <w:t>- Application_context: Fundamental research on aphid gene function and proof-of-concept for virus-mediated biocontrol.</w:t>
      </w:r>
    </w:p>
    <w:p w14:paraId="3F27E2D9">
      <w:pPr>
        <w:rPr>
          <w:rFonts w:hint="default"/>
        </w:rPr>
      </w:pPr>
      <w:r>
        <w:rPr>
          <w:rFonts w:hint="default"/>
        </w:rPr>
        <w:t>- Validation_level: Virus infection confirmed by molecular assays (Northern blot, RT-qPCR, Western blot), target gene knockdown measured by RT-qPCR, phenotypic lethality observed.</w:t>
      </w:r>
    </w:p>
    <w:p w14:paraId="075C7632">
      <w:pPr>
        <w:rPr>
          <w:rFonts w:hint="default"/>
        </w:rPr>
      </w:pPr>
      <w:r>
        <w:rPr>
          <w:rFonts w:hint="default"/>
        </w:rPr>
        <w:t>- Target_gene_or_pathway: Myzus persicae genes: Cathepsin L (CatL), Sugar Transporter 4 (ST4), Vha8, NaV.</w:t>
      </w:r>
    </w:p>
    <w:p w14:paraId="788F93AE">
      <w:pPr>
        <w:rPr>
          <w:rFonts w:hint="default"/>
        </w:rPr>
      </w:pPr>
      <w:r>
        <w:rPr>
          <w:rFonts w:hint="default"/>
        </w:rPr>
        <w:t>$</w:t>
      </w:r>
    </w:p>
    <w:p w14:paraId="70035165">
      <w:pPr>
        <w:rPr>
          <w:rFonts w:hint="default"/>
        </w:rPr>
      </w:pPr>
      <w:r>
        <w:rPr>
          <w:rFonts w:hint="default"/>
        </w:rPr>
        <w:t>Usage_note:</w:t>
      </w:r>
    </w:p>
    <w:p w14:paraId="47B517F7">
      <w:pPr>
        <w:rPr>
          <w:rFonts w:hint="default"/>
        </w:rPr>
      </w:pPr>
      <w:r>
        <w:rPr>
          <w:rFonts w:hint="default"/>
        </w:rPr>
        <w:t>- Intended use: Protocol for engineering FHV to carry foreign sequences, producing recombinant virions in plants or insect cells, and delivering them to aphids to induce RNAi via injection or feeding.</w:t>
      </w:r>
    </w:p>
    <w:p w14:paraId="61A0C4A4">
      <w:pPr>
        <w:rPr>
          <w:rFonts w:hint="default"/>
        </w:rPr>
      </w:pPr>
      <w:r>
        <w:rPr>
          <w:rFonts w:hint="default"/>
        </w:rPr>
        <w:t>- Adaptation notice: The FHV system requires co-infection with wild-type viral components for DI-RNA packaging. The method involves molecular cloning, virus propagation, and aphid handling skills. Target gene sequences must be cloned into the specific DI-634 vector backbone.</w:t>
      </w:r>
    </w:p>
    <w:p w14:paraId="7E32ED6E">
      <w:pPr>
        <w:rPr>
          <w:rFonts w:hint="default"/>
        </w:rPr>
      </w:pPr>
      <w:r>
        <w:rPr>
          <w:rFonts w:hint="default"/>
        </w:rPr>
        <w:t>{}</w:t>
      </w:r>
    </w:p>
    <w:p w14:paraId="640BF448">
      <w:pPr>
        <w:rPr>
          <w:rFonts w:hint="default"/>
        </w:rPr>
      </w:pPr>
      <w:r>
        <w:rPr>
          <w:rFonts w:hint="default"/>
        </w:rPr>
        <w:t>$</w:t>
      </w:r>
    </w:p>
    <w:p w14:paraId="7BA4C728">
      <w:pPr>
        <w:rPr>
          <w:rFonts w:hint="default"/>
        </w:rPr>
      </w:pPr>
      <w:r>
        <w:rPr>
          <w:rFonts w:hint="default"/>
        </w:rPr>
        <w:t>Sub-protocol 1: Maintenance of Biological Materials</w:t>
      </w:r>
    </w:p>
    <w:p w14:paraId="6FF91908">
      <w:pPr>
        <w:rPr>
          <w:rFonts w:hint="default"/>
        </w:rPr>
      </w:pPr>
      <w:r>
        <w:rPr>
          <w:rFonts w:hint="default"/>
        </w:rPr>
        <w:t>[PROTOCOL_STAGE=CULTURE_MAINTENANCE]</w:t>
      </w:r>
    </w:p>
    <w:p w14:paraId="67326687">
      <w:pPr>
        <w:rPr>
          <w:rFonts w:hint="default"/>
        </w:rPr>
      </w:pPr>
      <w:r>
        <w:rPr>
          <w:rFonts w:hint="default"/>
        </w:rPr>
        <w:t>$</w:t>
      </w:r>
    </w:p>
    <w:p w14:paraId="20630B22">
      <w:pPr>
        <w:rPr>
          <w:rFonts w:hint="default"/>
        </w:rPr>
      </w:pPr>
      <w:r>
        <w:rPr>
          <w:rFonts w:hint="default"/>
        </w:rPr>
        <w:t>Applicable_when:</w:t>
      </w:r>
    </w:p>
    <w:p w14:paraId="15D2B61E">
      <w:pPr>
        <w:rPr>
          <w:rFonts w:hint="default"/>
        </w:rPr>
      </w:pPr>
      <w:r>
        <w:rPr>
          <w:rFonts w:hint="default"/>
        </w:rPr>
        <w:t>- Preparing host plants, insect cell cultures, and aphid colonies for virus production and bioassays.</w:t>
      </w:r>
    </w:p>
    <w:p w14:paraId="17DA39B8">
      <w:pPr>
        <w:rPr>
          <w:rFonts w:hint="default"/>
        </w:rPr>
      </w:pPr>
      <w:r>
        <w:rPr>
          <w:rFonts w:hint="default"/>
        </w:rPr>
        <w:t>$</w:t>
      </w:r>
    </w:p>
    <w:p w14:paraId="0EE7E605">
      <w:pPr>
        <w:rPr>
          <w:rFonts w:hint="default"/>
        </w:rPr>
      </w:pPr>
      <w:r>
        <w:rPr>
          <w:rFonts w:hint="default"/>
        </w:rPr>
        <w:t>Purpose:</w:t>
      </w:r>
    </w:p>
    <w:p w14:paraId="30B0E52E">
      <w:pPr>
        <w:rPr>
          <w:rFonts w:hint="default"/>
        </w:rPr>
      </w:pPr>
      <w:r>
        <w:rPr>
          <w:rFonts w:hint="default"/>
        </w:rPr>
        <w:t>- To maintain healthy cultures of Nicotiana benthamiana plants, Drosophila S2 cells, and aphid species required for virus propagation and RNAi experiments.</w:t>
      </w:r>
    </w:p>
    <w:p w14:paraId="7CCCE047">
      <w:pPr>
        <w:rPr>
          <w:rFonts w:hint="default"/>
        </w:rPr>
      </w:pPr>
      <w:r>
        <w:rPr>
          <w:rFonts w:hint="default"/>
        </w:rPr>
        <w:t>$</w:t>
      </w:r>
    </w:p>
    <w:p w14:paraId="719B0E33">
      <w:pPr>
        <w:rPr>
          <w:rFonts w:hint="default"/>
        </w:rPr>
      </w:pPr>
      <w:r>
        <w:rPr>
          <w:rFonts w:hint="default"/>
        </w:rPr>
        <w:t>Procedure:</w:t>
      </w:r>
    </w:p>
    <w:p w14:paraId="1B948BDA">
      <w:pPr>
        <w:rPr>
          <w:rFonts w:hint="default"/>
        </w:rPr>
      </w:pPr>
      <w:r>
        <w:rPr>
          <w:rFonts w:hint="default"/>
        </w:rPr>
        <w:t>1. Grow Nicotiana benthamiana plants in a growth chamber at 24°C under a 16:8 hour light:dark photoperiod. Use plants at 4 weeks old for virus inoculation.</w:t>
      </w:r>
    </w:p>
    <w:p w14:paraId="416FC90A">
      <w:pPr>
        <w:rPr>
          <w:rFonts w:hint="default"/>
        </w:rPr>
      </w:pPr>
      <w:r>
        <w:rPr>
          <w:rFonts w:hint="default"/>
        </w:rPr>
        <w:t>2. Maintain Drosophila melanogaster S2 cells at 28°C in Schneider's Drosophila Medium supplemented with 10% heat-inactivated Fetal Bovine Serum and 1x Penicillin-Streptomycin using standard tissue culture procedures.</w:t>
      </w:r>
    </w:p>
    <w:p w14:paraId="68B93FCC">
      <w:pPr>
        <w:rPr>
          <w:rFonts w:hint="default"/>
        </w:rPr>
      </w:pPr>
      <w:r>
        <w:rPr>
          <w:rFonts w:hint="default"/>
        </w:rPr>
        <w:t>3. Rear aphid colonies on their respective host plants in an air-conditioned room at 25°C, 16:8 hour light:dark: Myzus persicae on radish plants, Rhopalosiphum maidis on barley plants, Rhopalosiphum padi on oat plants.</w:t>
      </w:r>
    </w:p>
    <w:p w14:paraId="4352A62E">
      <w:pPr>
        <w:rPr>
          <w:rFonts w:hint="default"/>
        </w:rPr>
      </w:pPr>
      <w:r>
        <w:rPr>
          <w:rFonts w:hint="default"/>
        </w:rPr>
        <w:t>4. For experiments, use synchronized aphids that are 5 days old.</w:t>
      </w:r>
    </w:p>
    <w:p w14:paraId="5885D3C1">
      <w:pPr>
        <w:rPr>
          <w:rFonts w:hint="default"/>
        </w:rPr>
      </w:pPr>
      <w:r>
        <w:rPr>
          <w:rFonts w:hint="default"/>
        </w:rPr>
        <w:t>$</w:t>
      </w:r>
    </w:p>
    <w:p w14:paraId="0AC8C5FF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1235407E">
      <w:pPr>
        <w:rPr>
          <w:rFonts w:hint="default"/>
        </w:rPr>
      </w:pPr>
      <w:r>
        <w:rPr>
          <w:rFonts w:hint="default"/>
        </w:rPr>
        <w:t>- Plant growth chamber.</w:t>
      </w:r>
    </w:p>
    <w:p w14:paraId="4B0BB055">
      <w:pPr>
        <w:rPr>
          <w:rFonts w:hint="default"/>
        </w:rPr>
      </w:pPr>
      <w:r>
        <w:rPr>
          <w:rFonts w:hint="default"/>
        </w:rPr>
        <w:t>- Drosophila S2 cell line and complete culture medium.</w:t>
      </w:r>
    </w:p>
    <w:p w14:paraId="13D8E004">
      <w:pPr>
        <w:rPr>
          <w:rFonts w:hint="default"/>
        </w:rPr>
      </w:pPr>
      <w:r>
        <w:rPr>
          <w:rFonts w:hint="default"/>
        </w:rPr>
        <w:t>- Incubator for cell culture (28°C).</w:t>
      </w:r>
    </w:p>
    <w:p w14:paraId="43480391">
      <w:pPr>
        <w:rPr>
          <w:rFonts w:hint="default"/>
        </w:rPr>
      </w:pPr>
      <w:r>
        <w:rPr>
          <w:rFonts w:hint="default"/>
        </w:rPr>
        <w:t>- Aphid host plants (radish, barley, oat).</w:t>
      </w:r>
    </w:p>
    <w:p w14:paraId="6F12DAB1">
      <w:pPr>
        <w:rPr>
          <w:rFonts w:hint="default"/>
        </w:rPr>
      </w:pPr>
      <w:r>
        <w:rPr>
          <w:rFonts w:hint="default"/>
        </w:rPr>
        <w:t>- Environmental room for aphids (25°C, 16:8 L:D).</w:t>
      </w:r>
    </w:p>
    <w:p w14:paraId="7921EC27">
      <w:pPr>
        <w:rPr>
          <w:rFonts w:hint="default"/>
        </w:rPr>
      </w:pPr>
      <w:r>
        <w:rPr>
          <w:rFonts w:hint="default"/>
        </w:rPr>
        <w:t>$</w:t>
      </w:r>
    </w:p>
    <w:p w14:paraId="085A1EB4">
      <w:pPr>
        <w:rPr>
          <w:rFonts w:hint="default"/>
        </w:rPr>
      </w:pPr>
      <w:r>
        <w:rPr>
          <w:rFonts w:hint="default"/>
        </w:rPr>
        <w:t>Controls_and_validation:</w:t>
      </w:r>
    </w:p>
    <w:p w14:paraId="4475F4CE">
      <w:pPr>
        <w:rPr>
          <w:rFonts w:hint="default"/>
        </w:rPr>
      </w:pPr>
      <w:r>
        <w:rPr>
          <w:rFonts w:hint="default"/>
        </w:rPr>
        <w:t>- Positive control: Healthy plant growth, confluent cell cultures, and reproducing aphid colonies indicate proper maintenance.</w:t>
      </w:r>
    </w:p>
    <w:p w14:paraId="25AEE26E">
      <w:pPr>
        <w:rPr>
          <w:rFonts w:hint="default"/>
        </w:rPr>
      </w:pPr>
      <w:r>
        <w:rPr>
          <w:rFonts w:hint="default"/>
        </w:rPr>
        <w:t>- Negative control: Not applicable for maintenance.</w:t>
      </w:r>
    </w:p>
    <w:p w14:paraId="6345CD5C">
      <w:pPr>
        <w:rPr>
          <w:rFonts w:hint="default"/>
        </w:rPr>
      </w:pPr>
      <w:r>
        <w:rPr>
          <w:rFonts w:hint="default"/>
        </w:rPr>
        <w:t>- Validation logic: Successful use of these materials in subsequent steps (virus propagation, aphid bioassay) validates their quality.</w:t>
      </w:r>
    </w:p>
    <w:p w14:paraId="520274BA">
      <w:pPr>
        <w:rPr>
          <w:rFonts w:hint="default"/>
        </w:rPr>
      </w:pPr>
      <w:r>
        <w:rPr>
          <w:rFonts w:hint="default"/>
        </w:rPr>
        <w:t>$</w:t>
      </w:r>
    </w:p>
    <w:p w14:paraId="448CF358">
      <w:pPr>
        <w:rPr>
          <w:rFonts w:hint="default"/>
        </w:rPr>
      </w:pPr>
      <w:r>
        <w:rPr>
          <w:rFonts w:hint="default"/>
        </w:rPr>
        <w:t>Notes:</w:t>
      </w:r>
    </w:p>
    <w:p w14:paraId="6F34CAB1">
      <w:pPr>
        <w:rPr>
          <w:rFonts w:hint="default"/>
        </w:rPr>
      </w:pPr>
      <w:r>
        <w:rPr>
          <w:rFonts w:hint="default"/>
        </w:rPr>
        <w:t>- Synchronize aphid age by collecting newborn nymphs and rearing them for a defined period (e.g., 5 days).</w:t>
      </w:r>
    </w:p>
    <w:p w14:paraId="60FF97B5">
      <w:pPr>
        <w:rPr>
          <w:rFonts w:hint="default"/>
        </w:rPr>
      </w:pPr>
      <w:r>
        <w:rPr>
          <w:rFonts w:hint="default"/>
        </w:rPr>
        <w:t>- Maintain aseptic technique for S2 cell culture to prevent contamination.</w:t>
      </w:r>
    </w:p>
    <w:p w14:paraId="00CAC295">
      <w:pPr>
        <w:rPr>
          <w:rFonts w:hint="default"/>
        </w:rPr>
      </w:pPr>
      <w:r>
        <w:rPr>
          <w:rFonts w:hint="default"/>
        </w:rPr>
        <w:t>{}</w:t>
      </w:r>
    </w:p>
    <w:p w14:paraId="41378376">
      <w:pPr>
        <w:rPr>
          <w:rFonts w:hint="default"/>
        </w:rPr>
      </w:pPr>
      <w:r>
        <w:rPr>
          <w:rFonts w:hint="default"/>
        </w:rPr>
        <w:t>$</w:t>
      </w:r>
    </w:p>
    <w:p w14:paraId="2489465B">
      <w:pPr>
        <w:rPr>
          <w:rFonts w:hint="default"/>
        </w:rPr>
      </w:pPr>
      <w:r>
        <w:rPr>
          <w:rFonts w:hint="default"/>
        </w:rPr>
        <w:t>Sub-protocol 2: Engineering Flock House Virus (FHV) Constructs</w:t>
      </w:r>
    </w:p>
    <w:p w14:paraId="4AA8066A">
      <w:pPr>
        <w:rPr>
          <w:rFonts w:hint="default"/>
        </w:rPr>
      </w:pPr>
      <w:r>
        <w:rPr>
          <w:rFonts w:hint="default"/>
        </w:rPr>
        <w:t>[PROTOCOL_STAGE=REAGENT_PREPARATION]</w:t>
      </w:r>
    </w:p>
    <w:p w14:paraId="07A15C58">
      <w:pPr>
        <w:rPr>
          <w:rFonts w:hint="default"/>
        </w:rPr>
      </w:pPr>
      <w:r>
        <w:rPr>
          <w:rFonts w:hint="default"/>
        </w:rPr>
        <w:t>$</w:t>
      </w:r>
    </w:p>
    <w:p w14:paraId="29995C84">
      <w:pPr>
        <w:rPr>
          <w:rFonts w:hint="default"/>
        </w:rPr>
      </w:pPr>
      <w:r>
        <w:rPr>
          <w:rFonts w:hint="default"/>
        </w:rPr>
        <w:t>Applicable_when:</w:t>
      </w:r>
    </w:p>
    <w:p w14:paraId="15721B81">
      <w:pPr>
        <w:rPr>
          <w:rFonts w:hint="default"/>
        </w:rPr>
      </w:pPr>
      <w:r>
        <w:rPr>
          <w:rFonts w:hint="default"/>
        </w:rPr>
        <w:t>- Creating recombinant FHV clones to express foreign sequences (e.g., GFP, aphid gene fragments) for packaging into virus particles.</w:t>
      </w:r>
    </w:p>
    <w:p w14:paraId="59E6AD50">
      <w:pPr>
        <w:rPr>
          <w:rFonts w:hint="default"/>
        </w:rPr>
      </w:pPr>
      <w:r>
        <w:rPr>
          <w:rFonts w:hint="default"/>
        </w:rPr>
        <w:t>$</w:t>
      </w:r>
    </w:p>
    <w:p w14:paraId="51709B16">
      <w:pPr>
        <w:rPr>
          <w:rFonts w:hint="default"/>
        </w:rPr>
      </w:pPr>
      <w:r>
        <w:rPr>
          <w:rFonts w:hint="default"/>
        </w:rPr>
        <w:t>Purpose:</w:t>
      </w:r>
    </w:p>
    <w:p w14:paraId="0ABD895B">
      <w:pPr>
        <w:rPr>
          <w:rFonts w:hint="default"/>
        </w:rPr>
      </w:pPr>
      <w:r>
        <w:rPr>
          <w:rFonts w:hint="default"/>
        </w:rPr>
        <w:t>- To construct plasmid clones that, when delivered to plant cells, will transcribe engineered FHV genomic RNAs or defective interfering RNAs (DI-RNAs) carrying the gene of interest.</w:t>
      </w:r>
    </w:p>
    <w:p w14:paraId="3640FC18">
      <w:pPr>
        <w:rPr>
          <w:rFonts w:hint="default"/>
        </w:rPr>
      </w:pPr>
      <w:r>
        <w:rPr>
          <w:rFonts w:hint="default"/>
        </w:rPr>
        <w:t>$</w:t>
      </w:r>
    </w:p>
    <w:p w14:paraId="059B6752">
      <w:pPr>
        <w:rPr>
          <w:rFonts w:hint="default"/>
        </w:rPr>
      </w:pPr>
      <w:r>
        <w:rPr>
          <w:rFonts w:hint="default"/>
        </w:rPr>
        <w:t>Procedure:</w:t>
      </w:r>
    </w:p>
    <w:p w14:paraId="74225D72">
      <w:pPr>
        <w:rPr>
          <w:rFonts w:hint="default"/>
        </w:rPr>
      </w:pPr>
      <w:r>
        <w:rPr>
          <w:rFonts w:hint="default"/>
        </w:rPr>
        <w:t>1. Use plasmid pJL89 as the base vector. It contains a CaMV 35S promoter and an HDV ribozyme sequence for in planta transcription.</w:t>
      </w:r>
    </w:p>
    <w:p w14:paraId="2DA763D5">
      <w:pPr>
        <w:rPr>
          <w:rFonts w:hint="default"/>
        </w:rPr>
      </w:pPr>
      <w:r>
        <w:rPr>
          <w:rFonts w:hint="default"/>
        </w:rPr>
        <w:t>$</w:t>
      </w:r>
    </w:p>
    <w:p w14:paraId="327D554D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60E23594">
      <w:pPr>
        <w:rPr>
          <w:rFonts w:hint="default"/>
        </w:rPr>
      </w:pPr>
      <w:r>
        <w:rPr>
          <w:rFonts w:hint="default"/>
        </w:rPr>
        <w:t>- Template plasmids: pMT/FHV RNA1, pMT/FHV RNA2, pJL89/CMoV, pEAQ-HT/P26:GFP.</w:t>
      </w:r>
    </w:p>
    <w:p w14:paraId="7352FF3C">
      <w:pPr>
        <w:rPr>
          <w:rFonts w:hint="default"/>
        </w:rPr>
      </w:pPr>
      <w:r>
        <w:rPr>
          <w:rFonts w:hint="default"/>
        </w:rPr>
        <w:t>- PCR thermal cycler and high-fidelity polymerase.</w:t>
      </w:r>
    </w:p>
    <w:p w14:paraId="3357F4B1">
      <w:pPr>
        <w:rPr>
          <w:rFonts w:hint="default"/>
        </w:rPr>
      </w:pPr>
      <w:r>
        <w:rPr>
          <w:rFonts w:hint="default"/>
        </w:rPr>
        <w:t>- Gibson Assembly Master Mix or similar seamless cloning reagents.</w:t>
      </w:r>
    </w:p>
    <w:p w14:paraId="4EBE5F0E">
      <w:pPr>
        <w:rPr>
          <w:rFonts w:hint="default"/>
        </w:rPr>
      </w:pPr>
      <w:r>
        <w:rPr>
          <w:rFonts w:hint="default"/>
        </w:rPr>
        <w:t>- Restriction enzymes and ligase (if using traditional cloning).</w:t>
      </w:r>
    </w:p>
    <w:p w14:paraId="6DFA9E08">
      <w:pPr>
        <w:rPr>
          <w:rFonts w:hint="default"/>
        </w:rPr>
      </w:pPr>
      <w:r>
        <w:rPr>
          <w:rFonts w:hint="default"/>
        </w:rPr>
        <w:t>- E. coli competent cells for transformation.</w:t>
      </w:r>
    </w:p>
    <w:p w14:paraId="19ED1D7A">
      <w:pPr>
        <w:rPr>
          <w:rFonts w:hint="default"/>
        </w:rPr>
      </w:pPr>
      <w:r>
        <w:rPr>
          <w:rFonts w:hint="default"/>
        </w:rPr>
        <w:t>- DNA sequencing services.</w:t>
      </w:r>
    </w:p>
    <w:p w14:paraId="795E8295">
      <w:pPr>
        <w:rPr>
          <w:rFonts w:hint="default"/>
        </w:rPr>
      </w:pPr>
      <w:r>
        <w:rPr>
          <w:rFonts w:hint="default"/>
        </w:rPr>
        <w:t>- Gene-specific primers (see article Table S1).</w:t>
      </w:r>
    </w:p>
    <w:p w14:paraId="72643177">
      <w:pPr>
        <w:rPr>
          <w:rFonts w:hint="default"/>
        </w:rPr>
      </w:pPr>
      <w:r>
        <w:rPr>
          <w:rFonts w:hint="default"/>
        </w:rPr>
        <w:t>$</w:t>
      </w:r>
    </w:p>
    <w:p w14:paraId="6860C34B">
      <w:pPr>
        <w:rPr>
          <w:rFonts w:hint="default"/>
        </w:rPr>
      </w:pPr>
      <w:r>
        <w:rPr>
          <w:rFonts w:hint="default"/>
        </w:rPr>
        <w:t>Controls_and_validation:</w:t>
      </w:r>
    </w:p>
    <w:p w14:paraId="268F0FF8">
      <w:pPr>
        <w:rPr>
          <w:rFonts w:hint="default"/>
        </w:rPr>
      </w:pPr>
      <w:r>
        <w:rPr>
          <w:rFonts w:hint="default"/>
        </w:rPr>
        <w:t>- Positive control: Successful assembly of the wild-type FHV constructs (pJL89/FHV RNA1 &amp; RNA2) confirms the cloning system works.</w:t>
      </w:r>
    </w:p>
    <w:p w14:paraId="1D756304">
      <w:pPr>
        <w:rPr>
          <w:rFonts w:hint="default"/>
        </w:rPr>
      </w:pPr>
      <w:r>
        <w:rPr>
          <w:rFonts w:hint="default"/>
        </w:rPr>
        <w:t>- Negative control: Unsuccessful assembly reactions or empty vector transformations.</w:t>
      </w:r>
    </w:p>
    <w:p w14:paraId="0E85D138">
      <w:pPr>
        <w:rPr>
          <w:rFonts w:hint="default"/>
        </w:rPr>
      </w:pPr>
      <w:r>
        <w:rPr>
          <w:rFonts w:hint="default"/>
        </w:rPr>
        <w:t>- Validation logic: Correct assembly is confirmed by diagnostic restriction digest and ultimately by Sanger sequencing of the entire insert and junctions.</w:t>
      </w:r>
    </w:p>
    <w:p w14:paraId="527CB961">
      <w:pPr>
        <w:rPr>
          <w:rFonts w:hint="default"/>
        </w:rPr>
      </w:pPr>
      <w:r>
        <w:rPr>
          <w:rFonts w:hint="default"/>
        </w:rPr>
        <w:t>$</w:t>
      </w:r>
    </w:p>
    <w:p w14:paraId="7BAA8D8C">
      <w:pPr>
        <w:rPr>
          <w:rFonts w:hint="default"/>
        </w:rPr>
      </w:pPr>
      <w:r>
        <w:rPr>
          <w:rFonts w:hint="default"/>
        </w:rPr>
        <w:t>Notes:</w:t>
      </w:r>
    </w:p>
    <w:p w14:paraId="15565EC0">
      <w:pPr>
        <w:rPr>
          <w:rFonts w:hint="default"/>
        </w:rPr>
      </w:pPr>
      <w:r>
        <w:rPr>
          <w:rFonts w:hint="default"/>
        </w:rPr>
        <w:t>- The DI-634 RNA is a truncated version of RNA2 that autonomously replicates and can be engineered to carry foreign sequences.</w:t>
      </w:r>
    </w:p>
    <w:p w14:paraId="2A2D5350">
      <w:pPr>
        <w:rPr>
          <w:rFonts w:hint="default"/>
        </w:rPr>
      </w:pPr>
      <w:r>
        <w:rPr>
          <w:rFonts w:hint="default"/>
        </w:rPr>
        <w:t>- Multiple fragments are assembled using Gibson Assembly for complex constructs like pJL89/FHV DI-GFP.</w:t>
      </w:r>
    </w:p>
    <w:p w14:paraId="7CC4437D">
      <w:pPr>
        <w:rPr>
          <w:rFonts w:hint="default"/>
        </w:rPr>
      </w:pPr>
      <w:r>
        <w:rPr>
          <w:rFonts w:hint="default"/>
        </w:rPr>
        <w:t>- Always sequence-final constructs to ensure no mutations are introduced during PCR/assembly.</w:t>
      </w:r>
    </w:p>
    <w:p w14:paraId="14FDA4E6">
      <w:pPr>
        <w:rPr>
          <w:rFonts w:hint="default"/>
        </w:rPr>
      </w:pPr>
      <w:r>
        <w:rPr>
          <w:rFonts w:hint="default"/>
        </w:rPr>
        <w:t>{}</w:t>
      </w:r>
    </w:p>
    <w:p w14:paraId="16B086A6">
      <w:pPr>
        <w:rPr>
          <w:rFonts w:hint="default"/>
        </w:rPr>
      </w:pPr>
      <w:r>
        <w:rPr>
          <w:rFonts w:hint="default"/>
        </w:rPr>
        <w:t>$</w:t>
      </w:r>
    </w:p>
    <w:p w14:paraId="2D2DFEA9">
      <w:pPr>
        <w:rPr>
          <w:rFonts w:hint="default"/>
        </w:rPr>
      </w:pPr>
      <w:r>
        <w:rPr>
          <w:rFonts w:hint="default"/>
        </w:rPr>
        <w:t>Sub-protocol 2: Engineering Flock House Virus (FHV) Constructs (Continued - Assembly and Cloning)</w:t>
      </w:r>
    </w:p>
    <w:p w14:paraId="24D055AA">
      <w:pPr>
        <w:rPr>
          <w:rFonts w:hint="default"/>
        </w:rPr>
      </w:pPr>
      <w:r>
        <w:rPr>
          <w:rFonts w:hint="default"/>
        </w:rPr>
        <w:t>[PROTOCOL_STAGE=REAGENT_PREPARATION]</w:t>
      </w:r>
    </w:p>
    <w:p w14:paraId="143DC5E3">
      <w:pPr>
        <w:rPr>
          <w:rFonts w:hint="default"/>
        </w:rPr>
      </w:pPr>
      <w:r>
        <w:rPr>
          <w:rFonts w:hint="default"/>
        </w:rPr>
        <w:t>$</w:t>
      </w:r>
    </w:p>
    <w:p w14:paraId="4E81ECBD">
      <w:pPr>
        <w:rPr>
          <w:rFonts w:hint="default"/>
        </w:rPr>
      </w:pPr>
      <w:r>
        <w:rPr>
          <w:rFonts w:hint="default"/>
        </w:rPr>
        <w:t>Applicable_when:</w:t>
      </w:r>
    </w:p>
    <w:p w14:paraId="5BBFFF88">
      <w:pPr>
        <w:rPr>
          <w:rFonts w:hint="default"/>
        </w:rPr>
      </w:pPr>
      <w:r>
        <w:rPr>
          <w:rFonts w:hint="default"/>
        </w:rPr>
        <w:t>- (Continuation) Performing the specific assembly reactions for different construct types.</w:t>
      </w:r>
    </w:p>
    <w:p w14:paraId="26CFAA0D">
      <w:pPr>
        <w:rPr>
          <w:rFonts w:hint="default"/>
        </w:rPr>
      </w:pPr>
      <w:r>
        <w:rPr>
          <w:rFonts w:hint="default"/>
        </w:rPr>
        <w:t>$</w:t>
      </w:r>
    </w:p>
    <w:p w14:paraId="7C87FDB6">
      <w:pPr>
        <w:rPr>
          <w:rFonts w:hint="default"/>
        </w:rPr>
      </w:pPr>
      <w:r>
        <w:rPr>
          <w:rFonts w:hint="default"/>
        </w:rPr>
        <w:t>Purpose:</w:t>
      </w:r>
    </w:p>
    <w:p w14:paraId="78362647">
      <w:pPr>
        <w:rPr>
          <w:rFonts w:hint="default"/>
        </w:rPr>
      </w:pPr>
      <w:r>
        <w:rPr>
          <w:rFonts w:hint="default"/>
        </w:rPr>
        <w:t>- To generate the full set of plasmids needed: wild-type FHV, DI-RNAs with reporters or target genes, and engineered RNA1 with target genes.</w:t>
      </w:r>
    </w:p>
    <w:p w14:paraId="1C458CE0">
      <w:pPr>
        <w:rPr>
          <w:rFonts w:hint="default"/>
        </w:rPr>
      </w:pPr>
      <w:r>
        <w:rPr>
          <w:rFonts w:hint="default"/>
        </w:rPr>
        <w:t>$</w:t>
      </w:r>
    </w:p>
    <w:p w14:paraId="3F6EA497">
      <w:pPr>
        <w:rPr>
          <w:rFonts w:hint="default"/>
        </w:rPr>
      </w:pPr>
      <w:bookmarkStart w:id="0" w:name="_GoBack"/>
      <w:r>
        <w:rPr>
          <w:rFonts w:hint="default"/>
        </w:rPr>
        <w:t>Procedure:</w:t>
      </w:r>
    </w:p>
    <w:p w14:paraId="4488B35D">
      <w:pPr>
        <w:rPr>
          <w:rFonts w:hint="default"/>
        </w:rPr>
      </w:pPr>
      <w:r>
        <w:rPr>
          <w:rFonts w:hint="default"/>
        </w:rPr>
        <w:t>1. (Continued) For Wild-Type FHV Clones:</w:t>
      </w:r>
    </w:p>
    <w:p w14:paraId="232C0F9D">
      <w:pPr>
        <w:rPr>
          <w:rFonts w:hint="default"/>
        </w:rPr>
      </w:pPr>
      <w:r>
        <w:rPr>
          <w:rFonts w:hint="default"/>
        </w:rPr>
        <w:t xml:space="preserve">   a. Amplify full-length FHV RNA1 and RNA2 segments from templates.</w:t>
      </w:r>
    </w:p>
    <w:p w14:paraId="47D2C63C">
      <w:pPr>
        <w:rPr>
          <w:rFonts w:hint="default"/>
        </w:rPr>
      </w:pPr>
      <w:r>
        <w:rPr>
          <w:rFonts w:hint="default"/>
        </w:rPr>
        <w:t xml:space="preserve">   b. Amplify the pJL89 vector backbone.</w:t>
      </w:r>
    </w:p>
    <w:p w14:paraId="01BAB8C5">
      <w:pPr>
        <w:rPr>
          <w:rFonts w:hint="default"/>
        </w:rPr>
      </w:pPr>
      <w:r>
        <w:rPr>
          <w:rFonts w:hint="default"/>
        </w:rPr>
        <w:t xml:space="preserve">   c. Perform Gibson Assembly to create pJL89/FHV RNA1 and pJL89/FHV RNA2.</w:t>
      </w:r>
    </w:p>
    <w:p w14:paraId="608301A0">
      <w:pPr>
        <w:rPr>
          <w:rFonts w:hint="default"/>
        </w:rPr>
      </w:pPr>
      <w:r>
        <w:rPr>
          <w:rFonts w:hint="default"/>
        </w:rPr>
        <w:t>2. For DI-RNA Constructs (e.g., DI-GFP):</w:t>
      </w:r>
    </w:p>
    <w:p w14:paraId="1765E1C5">
      <w:pPr>
        <w:rPr>
          <w:rFonts w:hint="default"/>
        </w:rPr>
      </w:pPr>
      <w:r>
        <w:rPr>
          <w:rFonts w:hint="default"/>
        </w:rPr>
        <w:t xml:space="preserve">   a. Assemble four overlapping DNA fragments via Gibson Assembly: (i) a truncated FHV RNA2 fragment (nt 59-1228 deleted), (ii) FHV RNA2 fragment nt 59-249, (iii) FHV RNA2 fragment nt 517-728, (iv) the GFP coding sequence.</w:t>
      </w:r>
    </w:p>
    <w:p w14:paraId="3E8AE624">
      <w:pPr>
        <w:rPr>
          <w:rFonts w:hint="default"/>
        </w:rPr>
      </w:pPr>
      <w:r>
        <w:rPr>
          <w:rFonts w:hint="default"/>
        </w:rPr>
        <w:t xml:space="preserve">   b. This creates pJL89/FHV DI-GFP.</w:t>
      </w:r>
    </w:p>
    <w:p w14:paraId="5A797BF9">
      <w:pPr>
        <w:rPr>
          <w:rFonts w:hint="default"/>
        </w:rPr>
      </w:pPr>
      <w:r>
        <w:rPr>
          <w:rFonts w:hint="default"/>
        </w:rPr>
        <w:t>3. For Target Gene DI-RNA Constructs:</w:t>
      </w:r>
    </w:p>
    <w:p w14:paraId="0457B57E">
      <w:pPr>
        <w:rPr>
          <w:rFonts w:hint="default"/>
        </w:rPr>
      </w:pPr>
      <w:r>
        <w:rPr>
          <w:rFonts w:hint="default"/>
        </w:rPr>
        <w:t xml:space="preserve">   a. Replace the GFP sequence in the DI-GFP construct with a PCR-amplified fragment (e.g., 200-478 bp) from the target aphid gene (CatL, ST4, Vha8, NaV) using a similar Gibson Assembly strategy. This yields constructs like pJL89/FHV DI-CatL.</w:t>
      </w:r>
    </w:p>
    <w:p w14:paraId="3CBF615E">
      <w:pPr>
        <w:rPr>
          <w:rFonts w:hint="default"/>
        </w:rPr>
      </w:pPr>
      <w:r>
        <w:rPr>
          <w:rFonts w:hint="default"/>
        </w:rPr>
        <w:t>4. For Engineered RNA1 Constructs:</w:t>
      </w:r>
    </w:p>
    <w:p w14:paraId="430AC0A6">
      <w:pPr>
        <w:rPr>
          <w:rFonts w:hint="default"/>
        </w:rPr>
      </w:pPr>
      <w:r>
        <w:rPr>
          <w:rFonts w:hint="default"/>
        </w:rPr>
        <w:t xml:space="preserve">   a. Introduce the target gene fragment (e.g., CatL) into the pJL89/FHV RNA1 plasmid, typically within a non-essential region, using described methods (e.g., Maharaj et al. 2014). This yields constructs like pJL89/FHV RNA1-CatL.</w:t>
      </w:r>
    </w:p>
    <w:p w14:paraId="4095F629">
      <w:pPr>
        <w:rPr>
          <w:rFonts w:hint="default"/>
        </w:rPr>
      </w:pPr>
      <w:r>
        <w:rPr>
          <w:rFonts w:hint="default"/>
        </w:rPr>
        <w:t>5. Transform all assembly reactions into E. coli, select positive colonies, isolate plasmid DNA, and verify all constructs by Sanger sequencing.</w:t>
      </w:r>
    </w:p>
    <w:bookmarkEnd w:id="0"/>
    <w:p w14:paraId="4F13E6FA">
      <w:pPr>
        <w:rPr>
          <w:rFonts w:hint="default"/>
        </w:rPr>
      </w:pPr>
      <w:r>
        <w:rPr>
          <w:rFonts w:hint="default"/>
        </w:rPr>
        <w:t>$</w:t>
      </w:r>
    </w:p>
    <w:p w14:paraId="530D3D48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498E4B36">
      <w:pPr>
        <w:rPr>
          <w:rFonts w:hint="default"/>
        </w:rPr>
      </w:pPr>
      <w:r>
        <w:rPr>
          <w:rFonts w:hint="default"/>
        </w:rPr>
        <w:t>- (Same as previous segment)</w:t>
      </w:r>
    </w:p>
    <w:p w14:paraId="5E790C53">
      <w:pPr>
        <w:rPr>
          <w:rFonts w:hint="default"/>
        </w:rPr>
      </w:pPr>
      <w:r>
        <w:rPr>
          <w:rFonts w:hint="default"/>
        </w:rPr>
        <w:t>$</w:t>
      </w:r>
    </w:p>
    <w:p w14:paraId="4D5C48A6">
      <w:pPr>
        <w:rPr>
          <w:rFonts w:hint="default"/>
        </w:rPr>
      </w:pPr>
      <w:r>
        <w:rPr>
          <w:rFonts w:hint="default"/>
        </w:rPr>
        <w:t>Controls_and_validation:</w:t>
      </w:r>
    </w:p>
    <w:p w14:paraId="3CF50A73">
      <w:pPr>
        <w:rPr>
          <w:rFonts w:hint="default"/>
        </w:rPr>
      </w:pPr>
      <w:r>
        <w:rPr>
          <w:rFonts w:hint="default"/>
        </w:rPr>
        <w:t>- (Same as previous segment)</w:t>
      </w:r>
    </w:p>
    <w:p w14:paraId="06AE1E87">
      <w:pPr>
        <w:rPr>
          <w:rFonts w:hint="default"/>
        </w:rPr>
      </w:pPr>
      <w:r>
        <w:rPr>
          <w:rFonts w:hint="default"/>
        </w:rPr>
        <w:t>$</w:t>
      </w:r>
    </w:p>
    <w:p w14:paraId="72A21464">
      <w:pPr>
        <w:rPr>
          <w:rFonts w:hint="default"/>
        </w:rPr>
      </w:pPr>
      <w:r>
        <w:rPr>
          <w:rFonts w:hint="default"/>
        </w:rPr>
        <w:t>Notes:</w:t>
      </w:r>
    </w:p>
    <w:p w14:paraId="2CE6D13C">
      <w:pPr>
        <w:rPr>
          <w:rFonts w:hint="default"/>
        </w:rPr>
      </w:pPr>
      <w:r>
        <w:rPr>
          <w:rFonts w:hint="default"/>
        </w:rPr>
        <w:t>- Maintain detailed records of fragment sizes and assembly strategies for each construct.</w:t>
      </w:r>
    </w:p>
    <w:p w14:paraId="27A989AE">
      <w:pPr>
        <w:rPr>
          <w:rFonts w:hint="default"/>
        </w:rPr>
      </w:pPr>
      <w:r>
        <w:rPr>
          <w:rFonts w:hint="default"/>
        </w:rPr>
        <w:t>- For co-infections, DI-RNAs require wild-type RNA1 and RNA2 for replication and packaging.</w:t>
      </w:r>
    </w:p>
    <w:p w14:paraId="0A1F92D3">
      <w:pPr>
        <w:rPr>
          <w:rFonts w:hint="default"/>
        </w:rPr>
      </w:pPr>
      <w:r>
        <w:rPr>
          <w:rFonts w:hint="default"/>
        </w:rPr>
        <w:t>{}</w:t>
      </w:r>
    </w:p>
    <w:p w14:paraId="2FD4A176">
      <w:pPr>
        <w:rPr>
          <w:rFonts w:hint="default"/>
        </w:rPr>
      </w:pPr>
      <w:r>
        <w:rPr>
          <w:rFonts w:hint="default"/>
        </w:rPr>
        <w:t>$</w:t>
      </w:r>
    </w:p>
    <w:p w14:paraId="3741A82E">
      <w:pPr>
        <w:rPr>
          <w:rFonts w:hint="default"/>
        </w:rPr>
      </w:pPr>
      <w:r>
        <w:rPr>
          <w:rFonts w:hint="default"/>
        </w:rPr>
        <w:t>Sub-protocol 3: Production and Purification of FHV Virions</w:t>
      </w:r>
    </w:p>
    <w:p w14:paraId="2050F662">
      <w:pPr>
        <w:rPr>
          <w:rFonts w:hint="default"/>
        </w:rPr>
      </w:pPr>
      <w:r>
        <w:rPr>
          <w:rFonts w:hint="default"/>
        </w:rPr>
        <w:t>[PROTOCOL_STAGE=REAGENT_PREPARATION]</w:t>
      </w:r>
    </w:p>
    <w:p w14:paraId="0020DD44">
      <w:pPr>
        <w:rPr>
          <w:rFonts w:hint="default"/>
        </w:rPr>
      </w:pPr>
      <w:r>
        <w:rPr>
          <w:rFonts w:hint="default"/>
        </w:rPr>
        <w:t>$</w:t>
      </w:r>
    </w:p>
    <w:p w14:paraId="4F3DFCB0">
      <w:pPr>
        <w:rPr>
          <w:rFonts w:hint="default"/>
        </w:rPr>
      </w:pPr>
      <w:r>
        <w:rPr>
          <w:rFonts w:hint="default"/>
        </w:rPr>
        <w:t>Applicable_when:</w:t>
      </w:r>
    </w:p>
    <w:p w14:paraId="1FAECEB2">
      <w:pPr>
        <w:rPr>
          <w:rFonts w:hint="default"/>
        </w:rPr>
      </w:pPr>
      <w:r>
        <w:rPr>
          <w:rFonts w:hint="default"/>
        </w:rPr>
        <w:t>- Generating infectious virus particles containing wild-type or engineered genomes for delivery to aphids.</w:t>
      </w:r>
    </w:p>
    <w:p w14:paraId="75B1EC8D">
      <w:pPr>
        <w:rPr>
          <w:rFonts w:hint="default"/>
        </w:rPr>
      </w:pPr>
      <w:r>
        <w:rPr>
          <w:rFonts w:hint="default"/>
        </w:rPr>
        <w:t>- Propagating virus in Nicotiana benthamiana plants or Drosophila S2 cells.</w:t>
      </w:r>
    </w:p>
    <w:p w14:paraId="798198F9">
      <w:pPr>
        <w:rPr>
          <w:rFonts w:hint="default"/>
        </w:rPr>
      </w:pPr>
      <w:r>
        <w:rPr>
          <w:rFonts w:hint="default"/>
        </w:rPr>
        <w:t>$</w:t>
      </w:r>
    </w:p>
    <w:p w14:paraId="05D1FFF6">
      <w:pPr>
        <w:rPr>
          <w:rFonts w:hint="default"/>
        </w:rPr>
      </w:pPr>
      <w:r>
        <w:rPr>
          <w:rFonts w:hint="default"/>
        </w:rPr>
        <w:t>Purpose:</w:t>
      </w:r>
    </w:p>
    <w:p w14:paraId="4730CB2E">
      <w:pPr>
        <w:rPr>
          <w:rFonts w:hint="default"/>
        </w:rPr>
      </w:pPr>
      <w:r>
        <w:rPr>
          <w:rFonts w:hint="default"/>
        </w:rPr>
        <w:t>- To produce and purify high-titer preparations of FHV virions, either wild-type or containing engineered DI-RNAs, for use in microinjection or feeding assays.</w:t>
      </w:r>
    </w:p>
    <w:p w14:paraId="6C0317E4">
      <w:pPr>
        <w:rPr>
          <w:rFonts w:hint="default"/>
        </w:rPr>
      </w:pPr>
      <w:r>
        <w:rPr>
          <w:rFonts w:hint="default"/>
        </w:rPr>
        <w:t>$</w:t>
      </w:r>
    </w:p>
    <w:p w14:paraId="439C69BB">
      <w:pPr>
        <w:rPr>
          <w:rFonts w:hint="default"/>
        </w:rPr>
      </w:pPr>
      <w:r>
        <w:rPr>
          <w:rFonts w:hint="default"/>
        </w:rPr>
        <w:t>Procedure:</w:t>
      </w:r>
    </w:p>
    <w:p w14:paraId="387831CA">
      <w:pPr>
        <w:rPr>
          <w:rFonts w:hint="default"/>
        </w:rPr>
      </w:pPr>
      <w:r>
        <w:rPr>
          <w:rFonts w:hint="default"/>
        </w:rPr>
        <w:t>1. Transform verified plasmids (pJL89/FHV RNA1, RNA2, DI-RNAs) into Agrobacterium tumefaciens strain GV3101.</w:t>
      </w:r>
    </w:p>
    <w:p w14:paraId="06545869">
      <w:pPr>
        <w:rPr>
          <w:rFonts w:hint="default"/>
        </w:rPr>
      </w:pPr>
      <w:r>
        <w:rPr>
          <w:rFonts w:hint="default"/>
        </w:rPr>
        <w:t>$</w:t>
      </w:r>
    </w:p>
    <w:p w14:paraId="5BED1C21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059315BC">
      <w:pPr>
        <w:rPr>
          <w:rFonts w:hint="default"/>
        </w:rPr>
      </w:pPr>
      <w:r>
        <w:rPr>
          <w:rFonts w:hint="default"/>
        </w:rPr>
        <w:t>- Agrobacterium tumefaciens GV3101.</w:t>
      </w:r>
    </w:p>
    <w:p w14:paraId="0016C487">
      <w:pPr>
        <w:rPr>
          <w:rFonts w:hint="default"/>
        </w:rPr>
      </w:pPr>
      <w:r>
        <w:rPr>
          <w:rFonts w:hint="default"/>
        </w:rPr>
        <w:t>- LB plates with appropriate antibiotics (kanamycin, rifampicin).</w:t>
      </w:r>
    </w:p>
    <w:p w14:paraId="3669A7A3">
      <w:pPr>
        <w:rPr>
          <w:rFonts w:hint="default"/>
        </w:rPr>
      </w:pPr>
      <w:r>
        <w:rPr>
          <w:rFonts w:hint="default"/>
        </w:rPr>
        <w:t>- Centrifuge.</w:t>
      </w:r>
    </w:p>
    <w:p w14:paraId="7A8543F2">
      <w:pPr>
        <w:rPr>
          <w:rFonts w:hint="default"/>
        </w:rPr>
      </w:pPr>
      <w:r>
        <w:rPr>
          <w:rFonts w:hint="default"/>
        </w:rPr>
        <w:t>- Agroinfiltration buffer: 10 mM MgCl2, 150 µM acetosyringone.</w:t>
      </w:r>
    </w:p>
    <w:p w14:paraId="353DE80F">
      <w:pPr>
        <w:rPr>
          <w:rFonts w:hint="default"/>
        </w:rPr>
      </w:pPr>
      <w:r>
        <w:rPr>
          <w:rFonts w:hint="default"/>
        </w:rPr>
        <w:t>- Spectrophotometer.</w:t>
      </w:r>
    </w:p>
    <w:p w14:paraId="4BA9870D">
      <w:pPr>
        <w:rPr>
          <w:rFonts w:hint="default"/>
        </w:rPr>
      </w:pPr>
      <w:r>
        <w:rPr>
          <w:rFonts w:hint="default"/>
        </w:rPr>
        <w:t>- 4-week-old Nicotiana benthamiana plants.</w:t>
      </w:r>
    </w:p>
    <w:p w14:paraId="5A242A79">
      <w:pPr>
        <w:rPr>
          <w:rFonts w:hint="default"/>
        </w:rPr>
      </w:pPr>
      <w:r>
        <w:rPr>
          <w:rFonts w:hint="default"/>
        </w:rPr>
        <w:t>- Drosophila S2 cells and culture medium.</w:t>
      </w:r>
    </w:p>
    <w:p w14:paraId="1967AAF1">
      <w:pPr>
        <w:rPr>
          <w:rFonts w:hint="default"/>
        </w:rPr>
      </w:pPr>
      <w:r>
        <w:rPr>
          <w:rFonts w:hint="default"/>
        </w:rPr>
        <w:t>- Virion purification reagents: Extraction buffer (50 mM HEPES, pH 7.0), cheesecloth, centrifuge capable of 50,000 rpm, 30% sucrose cushion in HEPES buffer, RNase A.</w:t>
      </w:r>
    </w:p>
    <w:p w14:paraId="26B4BDD6">
      <w:pPr>
        <w:rPr>
          <w:rFonts w:hint="default"/>
        </w:rPr>
      </w:pPr>
      <w:r>
        <w:rPr>
          <w:rFonts w:hint="default"/>
        </w:rPr>
        <w:t>- 0.22 µm syringe filters.</w:t>
      </w:r>
    </w:p>
    <w:p w14:paraId="3CD5784A">
      <w:pPr>
        <w:rPr>
          <w:rFonts w:hint="default"/>
        </w:rPr>
      </w:pPr>
      <w:r>
        <w:rPr>
          <w:rFonts w:hint="default"/>
        </w:rPr>
        <w:t>$</w:t>
      </w:r>
    </w:p>
    <w:p w14:paraId="40A84FE0">
      <w:pPr>
        <w:rPr>
          <w:rFonts w:hint="default"/>
        </w:rPr>
      </w:pPr>
      <w:r>
        <w:rPr>
          <w:rFonts w:hint="default"/>
        </w:rPr>
        <w:t>Controls_and_validation:</w:t>
      </w:r>
    </w:p>
    <w:p w14:paraId="4A32F7D2">
      <w:pPr>
        <w:rPr>
          <w:rFonts w:hint="default"/>
        </w:rPr>
      </w:pPr>
      <w:r>
        <w:rPr>
          <w:rFonts w:hint="default"/>
        </w:rPr>
        <w:t>- Positive control: Agroinfiltration with wild-type FHV constructs should produce symptomatic plants and detectable virions.</w:t>
      </w:r>
    </w:p>
    <w:p w14:paraId="125D2EEE">
      <w:pPr>
        <w:rPr>
          <w:rFonts w:hint="default"/>
        </w:rPr>
      </w:pPr>
      <w:r>
        <w:rPr>
          <w:rFonts w:hint="default"/>
        </w:rPr>
        <w:t>- Negative control: Agroinfiltration with empty vector or buffer alone.</w:t>
      </w:r>
    </w:p>
    <w:p w14:paraId="1CE210EA">
      <w:pPr>
        <w:rPr>
          <w:rFonts w:hint="default"/>
        </w:rPr>
      </w:pPr>
      <w:r>
        <w:rPr>
          <w:rFonts w:hint="default"/>
        </w:rPr>
        <w:t>- Validation logic: Successful virus production is indicated by systemic symptoms in plants, detection of viral RNA/protein in extracts, and the presence of intact virus particles visualized by TEM after purification.</w:t>
      </w:r>
    </w:p>
    <w:p w14:paraId="1A9C9CBD">
      <w:pPr>
        <w:rPr>
          <w:rFonts w:hint="default"/>
        </w:rPr>
      </w:pPr>
      <w:r>
        <w:rPr>
          <w:rFonts w:hint="default"/>
        </w:rPr>
        <w:t>$</w:t>
      </w:r>
    </w:p>
    <w:p w14:paraId="183CD71C">
      <w:pPr>
        <w:rPr>
          <w:rFonts w:hint="default"/>
        </w:rPr>
      </w:pPr>
      <w:r>
        <w:rPr>
          <w:rFonts w:hint="default"/>
        </w:rPr>
        <w:t>Notes:</w:t>
      </w:r>
    </w:p>
    <w:p w14:paraId="53980797">
      <w:pPr>
        <w:rPr>
          <w:rFonts w:hint="default"/>
        </w:rPr>
      </w:pPr>
      <w:r>
        <w:rPr>
          <w:rFonts w:hint="default"/>
        </w:rPr>
        <w:t>- For plant-based production, this is the primary method described.</w:t>
      </w:r>
    </w:p>
    <w:p w14:paraId="06E132E6">
      <w:pPr>
        <w:rPr>
          <w:rFonts w:hint="default"/>
        </w:rPr>
      </w:pPr>
      <w:r>
        <w:rPr>
          <w:rFonts w:hint="default"/>
        </w:rPr>
        <w:t>- Virions can be further amplified in S2 cells by adding filtered plant-derived virions to the cell culture medium.</w:t>
      </w:r>
    </w:p>
    <w:p w14:paraId="279DBF99">
      <w:pPr>
        <w:rPr>
          <w:rFonts w:hint="default"/>
        </w:rPr>
      </w:pPr>
      <w:r>
        <w:rPr>
          <w:rFonts w:hint="default"/>
        </w:rPr>
        <w:t>- Purification over a sucrose cushion is crucial to obtain concentrated, clean virion preparations.</w:t>
      </w:r>
    </w:p>
    <w:p w14:paraId="2A535A6C">
      <w:pPr>
        <w:rPr>
          <w:rFonts w:hint="default"/>
        </w:rPr>
      </w:pPr>
      <w:r>
        <w:rPr>
          <w:rFonts w:hint="default"/>
        </w:rPr>
        <w:t>{}</w:t>
      </w:r>
    </w:p>
    <w:p w14:paraId="236BED8F">
      <w:pPr>
        <w:rPr>
          <w:rFonts w:hint="default"/>
        </w:rPr>
      </w:pPr>
      <w:r>
        <w:rPr>
          <w:rFonts w:hint="default"/>
        </w:rPr>
        <w:t>$</w:t>
      </w:r>
    </w:p>
    <w:p w14:paraId="3EF185E2">
      <w:pPr>
        <w:rPr>
          <w:rFonts w:hint="default"/>
        </w:rPr>
      </w:pPr>
      <w:r>
        <w:rPr>
          <w:rFonts w:hint="default"/>
        </w:rPr>
        <w:t>Sub-protocol 3: Production and Purification of FHV Virions (Continued - Inoculation and Purification)</w:t>
      </w:r>
    </w:p>
    <w:p w14:paraId="65B3D3C0">
      <w:pPr>
        <w:rPr>
          <w:rFonts w:hint="default"/>
        </w:rPr>
      </w:pPr>
      <w:r>
        <w:rPr>
          <w:rFonts w:hint="default"/>
        </w:rPr>
        <w:t>[PROTOCOL_STAGE=REAGENT_PREPARATION]</w:t>
      </w:r>
    </w:p>
    <w:p w14:paraId="06C4E956">
      <w:pPr>
        <w:rPr>
          <w:rFonts w:hint="default"/>
        </w:rPr>
      </w:pPr>
      <w:r>
        <w:rPr>
          <w:rFonts w:hint="default"/>
        </w:rPr>
        <w:t>$</w:t>
      </w:r>
    </w:p>
    <w:p w14:paraId="66A2E8DA">
      <w:pPr>
        <w:rPr>
          <w:rFonts w:hint="default"/>
        </w:rPr>
      </w:pPr>
      <w:r>
        <w:rPr>
          <w:rFonts w:hint="default"/>
        </w:rPr>
        <w:t>Applicable_when:</w:t>
      </w:r>
    </w:p>
    <w:p w14:paraId="50B0B2D0">
      <w:pPr>
        <w:rPr>
          <w:rFonts w:hint="default"/>
        </w:rPr>
      </w:pPr>
      <w:r>
        <w:rPr>
          <w:rFonts w:hint="default"/>
        </w:rPr>
        <w:t>- (Continuation) Inoculating plants and performing the virion purification steps.</w:t>
      </w:r>
    </w:p>
    <w:p w14:paraId="3AEB8528">
      <w:pPr>
        <w:rPr>
          <w:rFonts w:hint="default"/>
        </w:rPr>
      </w:pPr>
      <w:r>
        <w:rPr>
          <w:rFonts w:hint="default"/>
        </w:rPr>
        <w:t>$</w:t>
      </w:r>
    </w:p>
    <w:p w14:paraId="4189FE07">
      <w:pPr>
        <w:rPr>
          <w:rFonts w:hint="default"/>
        </w:rPr>
      </w:pPr>
      <w:r>
        <w:rPr>
          <w:rFonts w:hint="default"/>
        </w:rPr>
        <w:t>Purpose:</w:t>
      </w:r>
    </w:p>
    <w:p w14:paraId="7E93CBD7">
      <w:pPr>
        <w:rPr>
          <w:rFonts w:hint="default"/>
        </w:rPr>
      </w:pPr>
      <w:r>
        <w:rPr>
          <w:rFonts w:hint="default"/>
        </w:rPr>
        <w:t>- To infect plants with the engineered FHV system and isolate purified virions from the infected tissue.</w:t>
      </w:r>
    </w:p>
    <w:p w14:paraId="7761C004">
      <w:pPr>
        <w:rPr>
          <w:rFonts w:hint="default"/>
        </w:rPr>
      </w:pPr>
      <w:r>
        <w:rPr>
          <w:rFonts w:hint="default"/>
        </w:rPr>
        <w:t>$</w:t>
      </w:r>
    </w:p>
    <w:p w14:paraId="102CD0CA">
      <w:pPr>
        <w:rPr>
          <w:rFonts w:hint="default"/>
        </w:rPr>
      </w:pPr>
      <w:r>
        <w:rPr>
          <w:rFonts w:hint="default"/>
        </w:rPr>
        <w:t>Procedure:</w:t>
      </w:r>
    </w:p>
    <w:p w14:paraId="2F9DDC17">
      <w:pPr>
        <w:rPr>
          <w:rFonts w:hint="default"/>
        </w:rPr>
      </w:pPr>
      <w:r>
        <w:rPr>
          <w:rFonts w:hint="default"/>
        </w:rPr>
        <w:t>1. (Continued) For Plant Inoculation:</w:t>
      </w:r>
    </w:p>
    <w:p w14:paraId="2BEC0A8A">
      <w:pPr>
        <w:rPr>
          <w:rFonts w:hint="default"/>
        </w:rPr>
      </w:pPr>
      <w:r>
        <w:rPr>
          <w:rFonts w:hint="default"/>
        </w:rPr>
        <w:t xml:space="preserve">   a. Grow Agrobacterium cultures carrying the required plasmids.</w:t>
      </w:r>
    </w:p>
    <w:p w14:paraId="1D7C1AA0">
      <w:pPr>
        <w:rPr>
          <w:rFonts w:hint="default"/>
        </w:rPr>
      </w:pPr>
      <w:r>
        <w:rPr>
          <w:rFonts w:hint="default"/>
        </w:rPr>
        <w:t xml:space="preserve">   b. Pellet bacteria and resuspend in agroinfiltration buffer to an OD600 of 0.6. Incubate at room temperature for 2-4 hours.</w:t>
      </w:r>
    </w:p>
    <w:p w14:paraId="7782D08B">
      <w:pPr>
        <w:rPr>
          <w:rFonts w:hint="default"/>
        </w:rPr>
      </w:pPr>
      <w:r>
        <w:rPr>
          <w:rFonts w:hint="default"/>
        </w:rPr>
        <w:t xml:space="preserve">   c. For wild-type FHV: Mix Agrobacterium suspensions carrying pJL89/FHV RNA1 and RNA2 at a 1:1 ratio.</w:t>
      </w:r>
    </w:p>
    <w:p w14:paraId="759A0329">
      <w:pPr>
        <w:rPr>
          <w:rFonts w:hint="default"/>
        </w:rPr>
      </w:pPr>
      <w:r>
        <w:rPr>
          <w:rFonts w:hint="default"/>
        </w:rPr>
        <w:t xml:space="preserve">   d. For DI-RNA virion production: Mix Agrobacterium suspensions of pJL89/FHV RNA1, RNA2, and the desired pJL89/FHV DI-RNA at a ratio of 1:1:10.</w:t>
      </w:r>
    </w:p>
    <w:p w14:paraId="46E8324A">
      <w:pPr>
        <w:rPr>
          <w:rFonts w:hint="default"/>
        </w:rPr>
      </w:pPr>
      <w:r>
        <w:rPr>
          <w:rFonts w:hint="default"/>
        </w:rPr>
        <w:t xml:space="preserve">   e. For engineered RNA1 virions: Mix Agrobacterium carrying the engineered pJL89/FHV RNA1 clone with wild-type pJL89/FHV RNA2 at a 1:1 ratio.</w:t>
      </w:r>
    </w:p>
    <w:p w14:paraId="423090D6">
      <w:pPr>
        <w:rPr>
          <w:rFonts w:hint="default"/>
        </w:rPr>
      </w:pPr>
      <w:r>
        <w:rPr>
          <w:rFonts w:hint="default"/>
        </w:rPr>
        <w:t xml:space="preserve">   f. Infiltrate the mixtures into leaves of 4-week-old N. benthamiana plants.</w:t>
      </w:r>
    </w:p>
    <w:p w14:paraId="259978A8">
      <w:pPr>
        <w:rPr>
          <w:rFonts w:hint="default"/>
        </w:rPr>
      </w:pPr>
      <w:r>
        <w:rPr>
          <w:rFonts w:hint="default"/>
        </w:rPr>
        <w:t>2. Harvest systemically infected leaves after symptoms develop (typically several days post-infiltration).</w:t>
      </w:r>
    </w:p>
    <w:p w14:paraId="2F97A351">
      <w:pPr>
        <w:rPr>
          <w:rFonts w:hint="default"/>
        </w:rPr>
      </w:pPr>
      <w:r>
        <w:rPr>
          <w:rFonts w:hint="default"/>
        </w:rPr>
        <w:t>3. Virion Purification from Plant Tissue:</w:t>
      </w:r>
    </w:p>
    <w:p w14:paraId="6811C07C">
      <w:pPr>
        <w:rPr>
          <w:rFonts w:hint="default"/>
        </w:rPr>
      </w:pPr>
      <w:r>
        <w:rPr>
          <w:rFonts w:hint="default"/>
        </w:rPr>
        <w:t xml:space="preserve">   a. Grind infected leaves in 4 volumes (w/v) of cold extraction buffer (50 mM HEPES, pH 7.0).</w:t>
      </w:r>
    </w:p>
    <w:p w14:paraId="67ABD46F">
      <w:pPr>
        <w:rPr>
          <w:rFonts w:hint="default"/>
        </w:rPr>
      </w:pPr>
      <w:r>
        <w:rPr>
          <w:rFonts w:hint="default"/>
        </w:rPr>
        <w:t xml:space="preserve">   b. Filter the homogenate through three layers of cheesecloth.</w:t>
      </w:r>
    </w:p>
    <w:p w14:paraId="49CF704D">
      <w:pPr>
        <w:rPr>
          <w:rFonts w:hint="default"/>
        </w:rPr>
      </w:pPr>
      <w:r>
        <w:rPr>
          <w:rFonts w:hint="default"/>
        </w:rPr>
        <w:t xml:space="preserve">   c. Centrifuge the filtrate twice at 8000 rpm for 10 minutes at 4°C to remove debris.</w:t>
      </w:r>
    </w:p>
    <w:p w14:paraId="5A3DCC73">
      <w:pPr>
        <w:rPr>
          <w:rFonts w:hint="default"/>
        </w:rPr>
      </w:pPr>
      <w:r>
        <w:rPr>
          <w:rFonts w:hint="default"/>
        </w:rPr>
        <w:t xml:space="preserve">   d. Add RNase A to the supernatant to a final concentration of 10 µg/mL. Incubate at room temperature for 30 minutes.</w:t>
      </w:r>
    </w:p>
    <w:p w14:paraId="28CACDA0">
      <w:pPr>
        <w:rPr>
          <w:rFonts w:hint="default"/>
        </w:rPr>
      </w:pPr>
      <w:r>
        <w:rPr>
          <w:rFonts w:hint="default"/>
        </w:rPr>
        <w:t xml:space="preserve">   e. Layer the treated supernatant over a 30% sucrose cushion (in HEPES buffer) in an ultracentrifuge tube.</w:t>
      </w:r>
    </w:p>
    <w:p w14:paraId="39A2E166">
      <w:pPr>
        <w:rPr>
          <w:rFonts w:hint="default"/>
        </w:rPr>
      </w:pPr>
      <w:r>
        <w:rPr>
          <w:rFonts w:hint="default"/>
        </w:rPr>
        <w:t xml:space="preserve">   f. Centrifuge at 50,000 rpm for 1.5 hours at 4°C.</w:t>
      </w:r>
    </w:p>
    <w:p w14:paraId="47DCA179">
      <w:pPr>
        <w:rPr>
          <w:rFonts w:hint="default"/>
        </w:rPr>
      </w:pPr>
      <w:r>
        <w:rPr>
          <w:rFonts w:hint="default"/>
        </w:rPr>
        <w:t xml:space="preserve">   g. Discard the supernatant and carefully resuspend the pellet (containing virions) in a small volume of HEPES buffer.</w:t>
      </w:r>
    </w:p>
    <w:p w14:paraId="7DF49D0E">
      <w:pPr>
        <w:rPr>
          <w:rFonts w:hint="default"/>
        </w:rPr>
      </w:pPr>
      <w:r>
        <w:rPr>
          <w:rFonts w:hint="default"/>
        </w:rPr>
        <w:t xml:space="preserve">   h. Store purified virion preparations at 4°C.</w:t>
      </w:r>
    </w:p>
    <w:p w14:paraId="4AF31310">
      <w:pPr>
        <w:rPr>
          <w:rFonts w:hint="default"/>
        </w:rPr>
      </w:pPr>
      <w:r>
        <w:rPr>
          <w:rFonts w:hint="default"/>
        </w:rPr>
        <w:t>4. Optional: Pass purified virions through a 0.22 µm filter to sterilize. Determine virion titer by RT-qPCR as described in a subsequent protocol.</w:t>
      </w:r>
    </w:p>
    <w:p w14:paraId="3B1F9E4F">
      <w:pPr>
        <w:rPr>
          <w:rFonts w:hint="default"/>
        </w:rPr>
      </w:pPr>
      <w:r>
        <w:rPr>
          <w:rFonts w:hint="default"/>
        </w:rPr>
        <w:t>$</w:t>
      </w:r>
    </w:p>
    <w:p w14:paraId="1135B28D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15062C0D">
      <w:pPr>
        <w:rPr>
          <w:rFonts w:hint="default"/>
        </w:rPr>
      </w:pPr>
      <w:r>
        <w:rPr>
          <w:rFonts w:hint="default"/>
        </w:rPr>
        <w:t>- (Same as previous segment)</w:t>
      </w:r>
    </w:p>
    <w:p w14:paraId="56526D83">
      <w:pPr>
        <w:rPr>
          <w:rFonts w:hint="default"/>
        </w:rPr>
      </w:pPr>
      <w:r>
        <w:rPr>
          <w:rFonts w:hint="default"/>
        </w:rPr>
        <w:t>- Ultracentrifuge and appropriate rotors/tubes.</w:t>
      </w:r>
    </w:p>
    <w:p w14:paraId="7EAB125F">
      <w:pPr>
        <w:rPr>
          <w:rFonts w:hint="default"/>
        </w:rPr>
      </w:pPr>
      <w:r>
        <w:rPr>
          <w:rFonts w:hint="default"/>
        </w:rPr>
        <w:t>$</w:t>
      </w:r>
    </w:p>
    <w:p w14:paraId="19F7E4ED">
      <w:pPr>
        <w:rPr>
          <w:rFonts w:hint="default"/>
        </w:rPr>
      </w:pPr>
      <w:r>
        <w:rPr>
          <w:rFonts w:hint="default"/>
        </w:rPr>
        <w:t>Controls_and_validation:</w:t>
      </w:r>
    </w:p>
    <w:p w14:paraId="12DB41E0">
      <w:pPr>
        <w:rPr>
          <w:rFonts w:hint="default"/>
        </w:rPr>
      </w:pPr>
      <w:r>
        <w:rPr>
          <w:rFonts w:hint="default"/>
        </w:rPr>
        <w:t>- (Same as previous segment)</w:t>
      </w:r>
    </w:p>
    <w:p w14:paraId="124DC0F9">
      <w:pPr>
        <w:rPr>
          <w:rFonts w:hint="default"/>
        </w:rPr>
      </w:pPr>
      <w:r>
        <w:rPr>
          <w:rFonts w:hint="default"/>
        </w:rPr>
        <w:t>$</w:t>
      </w:r>
    </w:p>
    <w:p w14:paraId="2957900C">
      <w:pPr>
        <w:rPr>
          <w:rFonts w:hint="default"/>
        </w:rPr>
      </w:pPr>
      <w:r>
        <w:rPr>
          <w:rFonts w:hint="default"/>
        </w:rPr>
        <w:t>Notes:</w:t>
      </w:r>
    </w:p>
    <w:p w14:paraId="05BAA6C8">
      <w:pPr>
        <w:rPr>
          <w:rFonts w:hint="default"/>
        </w:rPr>
      </w:pPr>
      <w:r>
        <w:rPr>
          <w:rFonts w:hint="default"/>
        </w:rPr>
        <w:t>- The 1:1:10 ratio (RNA1:RNA2:DI-RNA) is critical for efficient co-packaging of the DI-RNA into virions.</w:t>
      </w:r>
    </w:p>
    <w:p w14:paraId="01569BF9">
      <w:pPr>
        <w:rPr>
          <w:rFonts w:hint="default"/>
        </w:rPr>
      </w:pPr>
      <w:r>
        <w:rPr>
          <w:rFonts w:hint="default"/>
        </w:rPr>
        <w:t>- Resuspending the ultracentrifuge pellet thoroughly is key to recovering a high yield of virions.</w:t>
      </w:r>
    </w:p>
    <w:p w14:paraId="54BE095A">
      <w:pPr>
        <w:rPr>
          <w:rFonts w:hint="default"/>
        </w:rPr>
      </w:pPr>
      <w:r>
        <w:rPr>
          <w:rFonts w:hint="default"/>
        </w:rPr>
        <w:t>- Titer is crucial for standardizing doses in bioassays.</w:t>
      </w:r>
    </w:p>
    <w:p w14:paraId="21470613">
      <w:pPr>
        <w:rPr>
          <w:rFonts w:hint="default"/>
        </w:rPr>
      </w:pPr>
      <w:r>
        <w:rPr>
          <w:rFonts w:hint="default"/>
        </w:rPr>
        <w:t>{}</w:t>
      </w:r>
    </w:p>
    <w:p w14:paraId="615E367F">
      <w:pPr>
        <w:rPr>
          <w:rFonts w:hint="default"/>
        </w:rPr>
      </w:pPr>
      <w:r>
        <w:rPr>
          <w:rFonts w:hint="default"/>
        </w:rPr>
        <w:t>$</w:t>
      </w:r>
    </w:p>
    <w:p w14:paraId="15DF2058">
      <w:pPr>
        <w:rPr>
          <w:rFonts w:hint="default"/>
        </w:rPr>
      </w:pPr>
      <w:r>
        <w:rPr>
          <w:rFonts w:hint="default"/>
        </w:rPr>
        <w:t>Sub-protocol 4: Aphid Delivery of FHV Virions via Microinjection and Membrane Feeding</w:t>
      </w:r>
    </w:p>
    <w:p w14:paraId="62849131">
      <w:pPr>
        <w:rPr>
          <w:rFonts w:hint="default"/>
        </w:rPr>
      </w:pPr>
      <w:r>
        <w:rPr>
          <w:rFonts w:hint="default"/>
        </w:rPr>
        <w:t>[PROTOCOL_STAGE=TREATMENT_DELIVERY]</w:t>
      </w:r>
    </w:p>
    <w:p w14:paraId="15AEE17B">
      <w:pPr>
        <w:rPr>
          <w:rFonts w:hint="default"/>
        </w:rPr>
      </w:pPr>
      <w:r>
        <w:rPr>
          <w:rFonts w:hint="default"/>
        </w:rPr>
        <w:t>$</w:t>
      </w:r>
    </w:p>
    <w:p w14:paraId="75156E82">
      <w:pPr>
        <w:rPr>
          <w:rFonts w:hint="default"/>
        </w:rPr>
      </w:pPr>
      <w:r>
        <w:rPr>
          <w:rFonts w:hint="default"/>
        </w:rPr>
        <w:t>Applicable_when:</w:t>
      </w:r>
    </w:p>
    <w:p w14:paraId="3FE6F028">
      <w:pPr>
        <w:rPr>
          <w:rFonts w:hint="default"/>
        </w:rPr>
      </w:pPr>
      <w:r>
        <w:rPr>
          <w:rFonts w:hint="default"/>
        </w:rPr>
        <w:t>- Delivering engineered FHV virions to aphids to induce RNAi.</w:t>
      </w:r>
    </w:p>
    <w:p w14:paraId="6AB18FE1">
      <w:pPr>
        <w:rPr>
          <w:rFonts w:hint="default"/>
        </w:rPr>
      </w:pPr>
      <w:r>
        <w:rPr>
          <w:rFonts w:hint="default"/>
        </w:rPr>
        <w:t>- Comparing delivery routes (intrathoracic injection vs. oral feeding).</w:t>
      </w:r>
    </w:p>
    <w:p w14:paraId="7785FC86">
      <w:pPr>
        <w:rPr>
          <w:rFonts w:hint="default"/>
        </w:rPr>
      </w:pPr>
      <w:r>
        <w:rPr>
          <w:rFonts w:hint="default"/>
        </w:rPr>
        <w:t>$</w:t>
      </w:r>
    </w:p>
    <w:p w14:paraId="22F7C583">
      <w:pPr>
        <w:rPr>
          <w:rFonts w:hint="default"/>
        </w:rPr>
      </w:pPr>
      <w:r>
        <w:rPr>
          <w:rFonts w:hint="default"/>
        </w:rPr>
        <w:t>Purpose:</w:t>
      </w:r>
    </w:p>
    <w:p w14:paraId="261D0AA2">
      <w:pPr>
        <w:rPr>
          <w:rFonts w:hint="default"/>
        </w:rPr>
      </w:pPr>
      <w:r>
        <w:rPr>
          <w:rFonts w:hint="default"/>
        </w:rPr>
        <w:t>- To introduce FHV virions carrying target gene sequences into the aphid body cavity (injection) or gut (feeding) to initiate viral replication and subsequent RNA interference.</w:t>
      </w:r>
    </w:p>
    <w:p w14:paraId="739FC369">
      <w:pPr>
        <w:rPr>
          <w:rFonts w:hint="default"/>
        </w:rPr>
      </w:pPr>
      <w:r>
        <w:rPr>
          <w:rFonts w:hint="default"/>
        </w:rPr>
        <w:t>$</w:t>
      </w:r>
    </w:p>
    <w:p w14:paraId="458C5BDE">
      <w:pPr>
        <w:rPr>
          <w:rFonts w:hint="default"/>
        </w:rPr>
      </w:pPr>
      <w:r>
        <w:rPr>
          <w:rFonts w:hint="default"/>
        </w:rPr>
        <w:t>Procedure:</w:t>
      </w:r>
    </w:p>
    <w:p w14:paraId="092C305A">
      <w:pPr>
        <w:rPr>
          <w:rFonts w:hint="default"/>
        </w:rPr>
      </w:pPr>
      <w:r>
        <w:rPr>
          <w:rFonts w:hint="default"/>
        </w:rPr>
        <w:t>1. Prepare synchronized 5-day-old aphids (Myzus persicae or other species).</w:t>
      </w:r>
    </w:p>
    <w:p w14:paraId="6B2D7067">
      <w:pPr>
        <w:rPr>
          <w:rFonts w:hint="default"/>
        </w:rPr>
      </w:pPr>
      <w:r>
        <w:rPr>
          <w:rFonts w:hint="default"/>
        </w:rPr>
        <w:t>2. Adjust the titer of purified virion preparations as needed: For injection, adjust to 1 x 10^5 copies/µL. For oral feeding, adjust to 3 x 10^7 copies/µL for engineered DI-RNA virions.</w:t>
      </w:r>
    </w:p>
    <w:p w14:paraId="45B5BE84">
      <w:pPr>
        <w:rPr>
          <w:rFonts w:hint="default"/>
        </w:rPr>
      </w:pPr>
      <w:r>
        <w:rPr>
          <w:rFonts w:hint="default"/>
        </w:rPr>
        <w:t>$</w:t>
      </w:r>
    </w:p>
    <w:p w14:paraId="5C530058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7728D15D">
      <w:pPr>
        <w:rPr>
          <w:rFonts w:hint="default"/>
        </w:rPr>
      </w:pPr>
      <w:r>
        <w:rPr>
          <w:rFonts w:hint="default"/>
        </w:rPr>
        <w:t>- Purified FHV virion preparations.</w:t>
      </w:r>
    </w:p>
    <w:p w14:paraId="5A2AFA59">
      <w:pPr>
        <w:rPr>
          <w:rFonts w:hint="default"/>
        </w:rPr>
      </w:pPr>
      <w:r>
        <w:rPr>
          <w:rFonts w:hint="default"/>
        </w:rPr>
        <w:t>- Nanoject III microinjector or similar.</w:t>
      </w:r>
    </w:p>
    <w:p w14:paraId="68EE8B19">
      <w:pPr>
        <w:rPr>
          <w:rFonts w:hint="default"/>
        </w:rPr>
      </w:pPr>
      <w:r>
        <w:rPr>
          <w:rFonts w:hint="default"/>
        </w:rPr>
        <w:t>- Glass microinjection needles.</w:t>
      </w:r>
    </w:p>
    <w:p w14:paraId="57073D32">
      <w:pPr>
        <w:rPr>
          <w:rFonts w:hint="default"/>
        </w:rPr>
      </w:pPr>
      <w:r>
        <w:rPr>
          <w:rFonts w:hint="default"/>
        </w:rPr>
        <w:t>- Homemade vacuum-operated aphid holder.</w:t>
      </w:r>
    </w:p>
    <w:p w14:paraId="3B66F5A2">
      <w:pPr>
        <w:rPr>
          <w:rFonts w:hint="default"/>
        </w:rPr>
      </w:pPr>
      <w:r>
        <w:rPr>
          <w:rFonts w:hint="default"/>
        </w:rPr>
        <w:t>- Fine paintbrush.</w:t>
      </w:r>
    </w:p>
    <w:p w14:paraId="0F3767AB">
      <w:pPr>
        <w:rPr>
          <w:rFonts w:hint="default"/>
        </w:rPr>
      </w:pPr>
      <w:r>
        <w:rPr>
          <w:rFonts w:hint="default"/>
        </w:rPr>
        <w:t>- Parafilm.</w:t>
      </w:r>
    </w:p>
    <w:p w14:paraId="012D90D0">
      <w:pPr>
        <w:rPr>
          <w:rFonts w:hint="default"/>
        </w:rPr>
      </w:pPr>
      <w:r>
        <w:rPr>
          <w:rFonts w:hint="default"/>
        </w:rPr>
        <w:t>- Plastic vials (38 x 84 mm).</w:t>
      </w:r>
    </w:p>
    <w:p w14:paraId="250B0282">
      <w:pPr>
        <w:rPr>
          <w:rFonts w:hint="default"/>
        </w:rPr>
      </w:pPr>
      <w:r>
        <w:rPr>
          <w:rFonts w:hint="default"/>
        </w:rPr>
        <w:t>- Artificial aphid diet.</w:t>
      </w:r>
    </w:p>
    <w:p w14:paraId="15090F81">
      <w:pPr>
        <w:rPr>
          <w:rFonts w:hint="default"/>
        </w:rPr>
      </w:pPr>
      <w:r>
        <w:rPr>
          <w:rFonts w:hint="default"/>
        </w:rPr>
        <w:t>- Sucrose.</w:t>
      </w:r>
    </w:p>
    <w:p w14:paraId="424E1077">
      <w:pPr>
        <w:rPr>
          <w:rFonts w:hint="default"/>
        </w:rPr>
      </w:pPr>
      <w:r>
        <w:rPr>
          <w:rFonts w:hint="default"/>
        </w:rPr>
        <w:t>$</w:t>
      </w:r>
    </w:p>
    <w:p w14:paraId="34E0CEE0">
      <w:pPr>
        <w:rPr>
          <w:rFonts w:hint="default"/>
        </w:rPr>
      </w:pPr>
      <w:r>
        <w:rPr>
          <w:rFonts w:hint="default"/>
        </w:rPr>
        <w:t>Controls_and_validation:</w:t>
      </w:r>
    </w:p>
    <w:p w14:paraId="7938F70C">
      <w:pPr>
        <w:rPr>
          <w:rFonts w:hint="default"/>
        </w:rPr>
      </w:pPr>
      <w:r>
        <w:rPr>
          <w:rFonts w:hint="default"/>
        </w:rPr>
        <w:t>- Positive control: Aphids injected/fed with wild-type FHV virions to confirm infectivity.</w:t>
      </w:r>
    </w:p>
    <w:p w14:paraId="0713BEE7">
      <w:pPr>
        <w:rPr>
          <w:rFonts w:hint="default"/>
        </w:rPr>
      </w:pPr>
      <w:r>
        <w:rPr>
          <w:rFonts w:hint="default"/>
        </w:rPr>
        <w:t>- Negative control: Aphids injected/fed with buffer/sucrose mixture only or with virions containing a non-target sequence (e.g., GFP).</w:t>
      </w:r>
    </w:p>
    <w:p w14:paraId="571D370F">
      <w:pPr>
        <w:rPr>
          <w:rFonts w:hint="default"/>
        </w:rPr>
      </w:pPr>
      <w:r>
        <w:rPr>
          <w:rFonts w:hint="default"/>
        </w:rPr>
        <w:t>- Validation logic: Successful delivery is confirmed by subsequent detection of viral RNA in aphids (RT-qPCR, Northern blot) and/or by the intended biological effect (gene knockdown, mortality).</w:t>
      </w:r>
    </w:p>
    <w:p w14:paraId="3A0B2AE4">
      <w:pPr>
        <w:rPr>
          <w:rFonts w:hint="default"/>
        </w:rPr>
      </w:pPr>
      <w:r>
        <w:rPr>
          <w:rFonts w:hint="default"/>
        </w:rPr>
        <w:t>$</w:t>
      </w:r>
    </w:p>
    <w:p w14:paraId="46265DC8">
      <w:pPr>
        <w:rPr>
          <w:rFonts w:hint="default"/>
        </w:rPr>
      </w:pPr>
      <w:r>
        <w:rPr>
          <w:rFonts w:hint="default"/>
        </w:rPr>
        <w:t>Notes:</w:t>
      </w:r>
    </w:p>
    <w:p w14:paraId="12D3A1DB">
      <w:pPr>
        <w:rPr>
          <w:rFonts w:hint="default"/>
        </w:rPr>
      </w:pPr>
      <w:r>
        <w:rPr>
          <w:rFonts w:hint="default"/>
        </w:rPr>
        <w:t>- Microinjection is a precise but technically demanding method suitable for research.</w:t>
      </w:r>
    </w:p>
    <w:p w14:paraId="0D849876">
      <w:pPr>
        <w:rPr>
          <w:rFonts w:hint="default"/>
        </w:rPr>
      </w:pPr>
      <w:r>
        <w:rPr>
          <w:rFonts w:hint="default"/>
        </w:rPr>
        <w:t>- Oral feeding is more practical for potential biocontrol applications.</w:t>
      </w:r>
    </w:p>
    <w:p w14:paraId="5B9F0408">
      <w:pPr>
        <w:rPr>
          <w:rFonts w:hint="default"/>
        </w:rPr>
      </w:pPr>
      <w:r>
        <w:rPr>
          <w:rFonts w:hint="default"/>
        </w:rPr>
        <w:t>- After treatment, maintain aphids on a fresh artificial diet, changing it daily and removing nymphs.</w:t>
      </w:r>
    </w:p>
    <w:p w14:paraId="6B5C3EAB">
      <w:pPr>
        <w:rPr>
          <w:rFonts w:hint="default"/>
        </w:rPr>
      </w:pPr>
      <w:r>
        <w:rPr>
          <w:rFonts w:hint="default"/>
        </w:rPr>
        <w:t>- All bioassays should be conducted in a controlled environment (25°C, 16:8 L:D).</w:t>
      </w:r>
    </w:p>
    <w:p w14:paraId="0C3CE1BB">
      <w:pPr>
        <w:rPr>
          <w:rFonts w:hint="default"/>
        </w:rPr>
      </w:pPr>
      <w:r>
        <w:rPr>
          <w:rFonts w:hint="default"/>
        </w:rPr>
        <w:t>{}</w:t>
      </w:r>
    </w:p>
    <w:p w14:paraId="5496399F">
      <w:pPr>
        <w:rPr>
          <w:rFonts w:hint="default"/>
        </w:rPr>
      </w:pPr>
      <w:r>
        <w:rPr>
          <w:rFonts w:hint="default"/>
        </w:rPr>
        <w:t>$</w:t>
      </w:r>
    </w:p>
    <w:p w14:paraId="602DBFF1">
      <w:pPr>
        <w:rPr>
          <w:rFonts w:hint="default"/>
        </w:rPr>
      </w:pPr>
      <w:r>
        <w:rPr>
          <w:rFonts w:hint="default"/>
        </w:rPr>
        <w:t>Sub-protocol 4: Aphid Delivery of FHV Virions (Continued - Procedure Details)</w:t>
      </w:r>
    </w:p>
    <w:p w14:paraId="2AC2870F">
      <w:pPr>
        <w:rPr>
          <w:rFonts w:hint="default"/>
        </w:rPr>
      </w:pPr>
      <w:r>
        <w:rPr>
          <w:rFonts w:hint="default"/>
        </w:rPr>
        <w:t>[PROTOCOL_STAGE=TREATMENT_DELIVERY]</w:t>
      </w:r>
    </w:p>
    <w:p w14:paraId="259FCBBC">
      <w:pPr>
        <w:rPr>
          <w:rFonts w:hint="default"/>
        </w:rPr>
      </w:pPr>
      <w:r>
        <w:rPr>
          <w:rFonts w:hint="default"/>
        </w:rPr>
        <w:t>$</w:t>
      </w:r>
    </w:p>
    <w:p w14:paraId="2D70E32C">
      <w:pPr>
        <w:rPr>
          <w:rFonts w:hint="default"/>
        </w:rPr>
      </w:pPr>
      <w:r>
        <w:rPr>
          <w:rFonts w:hint="default"/>
        </w:rPr>
        <w:t>Applicable_when:</w:t>
      </w:r>
    </w:p>
    <w:p w14:paraId="4E03DBF6">
      <w:pPr>
        <w:rPr>
          <w:rFonts w:hint="default"/>
        </w:rPr>
      </w:pPr>
      <w:r>
        <w:rPr>
          <w:rFonts w:hint="default"/>
        </w:rPr>
        <w:t>- (Continuation) Performing the microinjection and membrane feeding procedures.</w:t>
      </w:r>
    </w:p>
    <w:p w14:paraId="27BA36E9">
      <w:pPr>
        <w:rPr>
          <w:rFonts w:hint="default"/>
        </w:rPr>
      </w:pPr>
      <w:r>
        <w:rPr>
          <w:rFonts w:hint="default"/>
        </w:rPr>
        <w:t>$</w:t>
      </w:r>
    </w:p>
    <w:p w14:paraId="077AC196">
      <w:pPr>
        <w:rPr>
          <w:rFonts w:hint="default"/>
        </w:rPr>
      </w:pPr>
      <w:r>
        <w:rPr>
          <w:rFonts w:hint="default"/>
        </w:rPr>
        <w:t>Purpose:</w:t>
      </w:r>
    </w:p>
    <w:p w14:paraId="517BE29D">
      <w:pPr>
        <w:rPr>
          <w:rFonts w:hint="default"/>
        </w:rPr>
      </w:pPr>
      <w:r>
        <w:rPr>
          <w:rFonts w:hint="default"/>
        </w:rPr>
        <w:t>- To execute the technical steps for virion delivery.</w:t>
      </w:r>
    </w:p>
    <w:p w14:paraId="7B78020C">
      <w:pPr>
        <w:rPr>
          <w:rFonts w:hint="default"/>
        </w:rPr>
      </w:pPr>
      <w:r>
        <w:rPr>
          <w:rFonts w:hint="default"/>
        </w:rPr>
        <w:t>$</w:t>
      </w:r>
    </w:p>
    <w:p w14:paraId="2F85E335">
      <w:pPr>
        <w:rPr>
          <w:rFonts w:hint="default"/>
        </w:rPr>
      </w:pPr>
      <w:r>
        <w:rPr>
          <w:rFonts w:hint="default"/>
        </w:rPr>
        <w:t>Procedure:</w:t>
      </w:r>
    </w:p>
    <w:p w14:paraId="7F47692F">
      <w:pPr>
        <w:rPr>
          <w:rFonts w:hint="default"/>
        </w:rPr>
      </w:pPr>
      <w:r>
        <w:rPr>
          <w:rFonts w:hint="default"/>
        </w:rPr>
        <w:t>1. (Continued) For Microinjection:</w:t>
      </w:r>
    </w:p>
    <w:p w14:paraId="5D19AD3D">
      <w:pPr>
        <w:rPr>
          <w:rFonts w:hint="default"/>
        </w:rPr>
      </w:pPr>
      <w:r>
        <w:rPr>
          <w:rFonts w:hint="default"/>
        </w:rPr>
        <w:t xml:space="preserve">   a. Place an aphid in the vacuum holder with its back against the holder.</w:t>
      </w:r>
    </w:p>
    <w:p w14:paraId="3EDE21B3">
      <w:pPr>
        <w:rPr>
          <w:rFonts w:hint="default"/>
        </w:rPr>
      </w:pPr>
      <w:r>
        <w:rPr>
          <w:rFonts w:hint="default"/>
        </w:rPr>
        <w:t xml:space="preserve">   b. Load the virion preparation into a glass injection needle.</w:t>
      </w:r>
    </w:p>
    <w:p w14:paraId="27BB236E">
      <w:pPr>
        <w:rPr>
          <w:rFonts w:hint="default"/>
        </w:rPr>
      </w:pPr>
      <w:r>
        <w:rPr>
          <w:rFonts w:hint="default"/>
        </w:rPr>
        <w:t xml:space="preserve">   c. Inject intrathoracically into the middle of the aphid abdomen between the second and third abdominal segments. Deliver a defined volume (e.g., 69 nL as is common with Nanoject).</w:t>
      </w:r>
    </w:p>
    <w:p w14:paraId="3C5872DD">
      <w:pPr>
        <w:rPr>
          <w:rFonts w:hint="default"/>
        </w:rPr>
      </w:pPr>
      <w:r>
        <w:rPr>
          <w:rFonts w:hint="default"/>
        </w:rPr>
        <w:t xml:space="preserve">   d. After injection, transfer aphids to feed on an artificial diet via a membrane feeding system. Change the diet daily.</w:t>
      </w:r>
    </w:p>
    <w:p w14:paraId="6F572270">
      <w:pPr>
        <w:rPr>
          <w:rFonts w:hint="default"/>
        </w:rPr>
      </w:pPr>
      <w:r>
        <w:rPr>
          <w:rFonts w:hint="default"/>
        </w:rPr>
        <w:t>2. For Membrane Feeding (Oral Delivery):</w:t>
      </w:r>
    </w:p>
    <w:p w14:paraId="4D6DBADF">
      <w:pPr>
        <w:rPr>
          <w:rFonts w:hint="default"/>
        </w:rPr>
      </w:pPr>
      <w:r>
        <w:rPr>
          <w:rFonts w:hint="default"/>
        </w:rPr>
        <w:t xml:space="preserve">   a. Mix the virion preparation with sucrose to a final sucrose concentration of 20%.</w:t>
      </w:r>
    </w:p>
    <w:p w14:paraId="67A34465">
      <w:pPr>
        <w:rPr>
          <w:rFonts w:hint="default"/>
        </w:rPr>
      </w:pPr>
      <w:r>
        <w:rPr>
          <w:rFonts w:hint="default"/>
        </w:rPr>
        <w:t xml:space="preserve">   b. For feeding engineered DI-RNA virions, use a titer of 3 x 10^7 copies/µL.</w:t>
      </w:r>
    </w:p>
    <w:p w14:paraId="36000485">
      <w:pPr>
        <w:rPr>
          <w:rFonts w:hint="default"/>
        </w:rPr>
      </w:pPr>
      <w:r>
        <w:rPr>
          <w:rFonts w:hint="default"/>
        </w:rPr>
        <w:t xml:space="preserve">   c. Stretch a piece of Parafilm over the opening of a plastic vial. Pipette 100 µL of the virion-sucrose mixture onto the Parafilm.</w:t>
      </w:r>
    </w:p>
    <w:p w14:paraId="44BD29AA">
      <w:pPr>
        <w:rPr>
          <w:rFonts w:hint="default"/>
        </w:rPr>
      </w:pPr>
      <w:r>
        <w:rPr>
          <w:rFonts w:hint="default"/>
        </w:rPr>
        <w:t xml:space="preserve">   d. Carefully overlay with a second stretched piece of Parafilm to create an even feeding layer.</w:t>
      </w:r>
    </w:p>
    <w:p w14:paraId="65E57BEE">
      <w:pPr>
        <w:rPr>
          <w:rFonts w:hint="default"/>
        </w:rPr>
      </w:pPr>
      <w:r>
        <w:rPr>
          <w:rFonts w:hint="default"/>
        </w:rPr>
        <w:t xml:space="preserve">   e. Place a group of 20 aphids into the vial, allowing them to feed on the liquid diet through the Parafilm membrane.</w:t>
      </w:r>
    </w:p>
    <w:p w14:paraId="290A3AFE">
      <w:pPr>
        <w:rPr>
          <w:rFonts w:hint="default"/>
        </w:rPr>
      </w:pPr>
      <w:r>
        <w:rPr>
          <w:rFonts w:hint="default"/>
        </w:rPr>
        <w:t xml:space="preserve">   f. Allow aphids to feed for 48 hours.</w:t>
      </w:r>
    </w:p>
    <w:p w14:paraId="02B729ED">
      <w:pPr>
        <w:rPr>
          <w:rFonts w:hint="default"/>
        </w:rPr>
      </w:pPr>
      <w:r>
        <w:rPr>
          <w:rFonts w:hint="default"/>
        </w:rPr>
        <w:t xml:space="preserve">   g. After the feeding period, transfer aphids to a fresh vial with a virion-free artificial diet. Change the diet and remove nymphs daily.</w:t>
      </w:r>
    </w:p>
    <w:p w14:paraId="115033AD">
      <w:pPr>
        <w:rPr>
          <w:rFonts w:hint="default"/>
        </w:rPr>
      </w:pPr>
      <w:r>
        <w:rPr>
          <w:rFonts w:hint="default"/>
        </w:rPr>
        <w:t>$</w:t>
      </w:r>
    </w:p>
    <w:p w14:paraId="300DCB7B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3456B153">
      <w:pPr>
        <w:rPr>
          <w:rFonts w:hint="default"/>
        </w:rPr>
      </w:pPr>
      <w:r>
        <w:rPr>
          <w:rFonts w:hint="default"/>
        </w:rPr>
        <w:t>- (Same as previous segment)</w:t>
      </w:r>
    </w:p>
    <w:p w14:paraId="437C69A8">
      <w:pPr>
        <w:rPr>
          <w:rFonts w:hint="default"/>
        </w:rPr>
      </w:pPr>
      <w:r>
        <w:rPr>
          <w:rFonts w:hint="default"/>
        </w:rPr>
        <w:t>$</w:t>
      </w:r>
    </w:p>
    <w:p w14:paraId="6B50E38C">
      <w:pPr>
        <w:rPr>
          <w:rFonts w:hint="default"/>
        </w:rPr>
      </w:pPr>
      <w:r>
        <w:rPr>
          <w:rFonts w:hint="default"/>
        </w:rPr>
        <w:t>Controls_and_validation:</w:t>
      </w:r>
    </w:p>
    <w:p w14:paraId="4D22080D">
      <w:pPr>
        <w:rPr>
          <w:rFonts w:hint="default"/>
        </w:rPr>
      </w:pPr>
      <w:r>
        <w:rPr>
          <w:rFonts w:hint="default"/>
        </w:rPr>
        <w:t>- (Same as previous segment)</w:t>
      </w:r>
    </w:p>
    <w:p w14:paraId="21D96B79">
      <w:pPr>
        <w:rPr>
          <w:rFonts w:hint="default"/>
        </w:rPr>
      </w:pPr>
      <w:r>
        <w:rPr>
          <w:rFonts w:hint="default"/>
        </w:rPr>
        <w:t>$</w:t>
      </w:r>
    </w:p>
    <w:p w14:paraId="1F72E73B">
      <w:pPr>
        <w:rPr>
          <w:rFonts w:hint="default"/>
        </w:rPr>
      </w:pPr>
      <w:r>
        <w:rPr>
          <w:rFonts w:hint="default"/>
        </w:rPr>
        <w:t>Notes:</w:t>
      </w:r>
    </w:p>
    <w:p w14:paraId="7A64C179">
      <w:pPr>
        <w:rPr>
          <w:rFonts w:hint="default"/>
        </w:rPr>
      </w:pPr>
      <w:r>
        <w:rPr>
          <w:rFonts w:hint="default"/>
        </w:rPr>
        <w:t>- The high virion titer and extended feeding period (48h) for oral delivery are designed to maximize infection chances.</w:t>
      </w:r>
    </w:p>
    <w:p w14:paraId="699A3BC3">
      <w:pPr>
        <w:rPr>
          <w:rFonts w:hint="default"/>
        </w:rPr>
      </w:pPr>
      <w:r>
        <w:rPr>
          <w:rFonts w:hint="default"/>
        </w:rPr>
        <w:t>- Handle aphids gently to avoid stress and physical damage.</w:t>
      </w:r>
    </w:p>
    <w:p w14:paraId="1E8F6DFF">
      <w:pPr>
        <w:rPr>
          <w:rFonts w:hint="default"/>
        </w:rPr>
      </w:pPr>
      <w:r>
        <w:rPr>
          <w:rFonts w:hint="default"/>
        </w:rPr>
        <w:t>{}</w:t>
      </w:r>
    </w:p>
    <w:p w14:paraId="66C68E05">
      <w:pPr>
        <w:rPr>
          <w:rFonts w:hint="default"/>
        </w:rPr>
      </w:pPr>
      <w:r>
        <w:rPr>
          <w:rFonts w:hint="default"/>
        </w:rPr>
        <w:t>$</w:t>
      </w:r>
    </w:p>
    <w:p w14:paraId="76A3D24D">
      <w:pPr>
        <w:rPr>
          <w:rFonts w:hint="default"/>
        </w:rPr>
      </w:pPr>
      <w:r>
        <w:rPr>
          <w:rFonts w:hint="default"/>
        </w:rPr>
        <w:t>Sub-protocol 5: Molecular Validation of Virus Infection and RNAi Efficacy</w:t>
      </w:r>
    </w:p>
    <w:p w14:paraId="040A51AE">
      <w:pPr>
        <w:rPr>
          <w:rFonts w:hint="default"/>
        </w:rPr>
      </w:pPr>
      <w:r>
        <w:rPr>
          <w:rFonts w:hint="default"/>
        </w:rPr>
        <w:t>[PROTOCOL_STAGE=PROCESSING_ANALYSIS]</w:t>
      </w:r>
    </w:p>
    <w:p w14:paraId="142B98C6">
      <w:pPr>
        <w:rPr>
          <w:rFonts w:hint="default"/>
        </w:rPr>
      </w:pPr>
      <w:r>
        <w:rPr>
          <w:rFonts w:hint="default"/>
        </w:rPr>
        <w:t>$</w:t>
      </w:r>
    </w:p>
    <w:p w14:paraId="493BD8FF">
      <w:pPr>
        <w:rPr>
          <w:rFonts w:hint="default"/>
        </w:rPr>
      </w:pPr>
      <w:r>
        <w:rPr>
          <w:rFonts w:hint="default"/>
        </w:rPr>
        <w:t>Applicable_when:</w:t>
      </w:r>
    </w:p>
    <w:p w14:paraId="75DCF420">
      <w:pPr>
        <w:rPr>
          <w:rFonts w:hint="default"/>
        </w:rPr>
      </w:pPr>
      <w:r>
        <w:rPr>
          <w:rFonts w:hint="default"/>
        </w:rPr>
        <w:t>- Confirming FHV infection and replication in plants, cells, or aphids.</w:t>
      </w:r>
    </w:p>
    <w:p w14:paraId="7A5DF1D3">
      <w:pPr>
        <w:rPr>
          <w:rFonts w:hint="default"/>
        </w:rPr>
      </w:pPr>
      <w:r>
        <w:rPr>
          <w:rFonts w:hint="default"/>
        </w:rPr>
        <w:t>- Measuring the knockdown of target aphid genes following virion delivery.</w:t>
      </w:r>
    </w:p>
    <w:p w14:paraId="735ABE1D">
      <w:pPr>
        <w:rPr>
          <w:rFonts w:hint="default"/>
        </w:rPr>
      </w:pPr>
      <w:r>
        <w:rPr>
          <w:rFonts w:hint="default"/>
        </w:rPr>
        <w:t>- Quantifying virion titer.</w:t>
      </w:r>
    </w:p>
    <w:p w14:paraId="72BF785F">
      <w:pPr>
        <w:rPr>
          <w:rFonts w:hint="default"/>
        </w:rPr>
      </w:pPr>
      <w:r>
        <w:rPr>
          <w:rFonts w:hint="default"/>
        </w:rPr>
        <w:t>$</w:t>
      </w:r>
    </w:p>
    <w:p w14:paraId="459EAC33">
      <w:pPr>
        <w:rPr>
          <w:rFonts w:hint="default"/>
        </w:rPr>
      </w:pPr>
      <w:r>
        <w:rPr>
          <w:rFonts w:hint="default"/>
        </w:rPr>
        <w:t>Purpose:</w:t>
      </w:r>
    </w:p>
    <w:p w14:paraId="7458F484">
      <w:pPr>
        <w:rPr>
          <w:rFonts w:hint="default"/>
        </w:rPr>
      </w:pPr>
      <w:r>
        <w:rPr>
          <w:rFonts w:hint="default"/>
        </w:rPr>
        <w:t>- To provide molecular evidence that the engineered FHV system is functional: viruses replicate, target gene mRNA levels are reduced, and the effect is sequence-specific.</w:t>
      </w:r>
    </w:p>
    <w:p w14:paraId="4F7FB66F">
      <w:pPr>
        <w:rPr>
          <w:rFonts w:hint="default"/>
        </w:rPr>
      </w:pPr>
      <w:r>
        <w:rPr>
          <w:rFonts w:hint="default"/>
        </w:rPr>
        <w:t>$</w:t>
      </w:r>
    </w:p>
    <w:p w14:paraId="6A66A5CC">
      <w:pPr>
        <w:rPr>
          <w:rFonts w:hint="default"/>
        </w:rPr>
      </w:pPr>
      <w:r>
        <w:rPr>
          <w:rFonts w:hint="default"/>
        </w:rPr>
        <w:t>Procedure:</w:t>
      </w:r>
    </w:p>
    <w:p w14:paraId="6AA9B165">
      <w:pPr>
        <w:rPr>
          <w:rFonts w:hint="default"/>
        </w:rPr>
      </w:pPr>
      <w:r>
        <w:rPr>
          <w:rFonts w:hint="default"/>
        </w:rPr>
        <w:t>1. Virion Titer Determination by RT-qPCR:</w:t>
      </w:r>
    </w:p>
    <w:p w14:paraId="765D4905">
      <w:pPr>
        <w:rPr>
          <w:rFonts w:hint="default"/>
        </w:rPr>
      </w:pPr>
      <w:r>
        <w:rPr>
          <w:rFonts w:hint="default"/>
        </w:rPr>
        <w:t xml:space="preserve">   a. Extract RNA from 100 µL of purified virion preparation using TRIzol LS Reagent.</w:t>
      </w:r>
    </w:p>
    <w:p w14:paraId="409A8DBF">
      <w:pPr>
        <w:rPr>
          <w:rFonts w:hint="default"/>
        </w:rPr>
      </w:pPr>
      <w:r>
        <w:rPr>
          <w:rFonts w:hint="default"/>
        </w:rPr>
        <w:t xml:space="preserve">   b. Synthesize cDNA.</w:t>
      </w:r>
    </w:p>
    <w:p w14:paraId="0BC936D6">
      <w:pPr>
        <w:rPr>
          <w:rFonts w:hint="default"/>
        </w:rPr>
      </w:pPr>
      <w:r>
        <w:rPr>
          <w:rFonts w:hint="default"/>
        </w:rPr>
        <w:t xml:space="preserve">   c. Perform RT-qPCR using primers specific for FHV RNA1 (for wild-type titer) or the inserted foreign sequence in DI-RNAs (for engineered virion titer).</w:t>
      </w:r>
    </w:p>
    <w:p w14:paraId="1CDBAB23">
      <w:pPr>
        <w:rPr>
          <w:rFonts w:hint="default"/>
        </w:rPr>
      </w:pPr>
      <w:r>
        <w:rPr>
          <w:rFonts w:hint="default"/>
        </w:rPr>
        <w:t xml:space="preserve">   d. Use serial dilutions of the corresponding plasmid (pJL89/FHV RNA1 or pJL89/FHV DI-RNA) as standards to generate a curve and calculate copy number/µL.</w:t>
      </w:r>
    </w:p>
    <w:p w14:paraId="2C8390CD">
      <w:pPr>
        <w:rPr>
          <w:rFonts w:hint="default"/>
        </w:rPr>
      </w:pPr>
      <w:r>
        <w:rPr>
          <w:rFonts w:hint="default"/>
        </w:rPr>
        <w:t>$</w:t>
      </w:r>
    </w:p>
    <w:p w14:paraId="11B35724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0B401EC9">
      <w:pPr>
        <w:rPr>
          <w:rFonts w:hint="default"/>
        </w:rPr>
      </w:pPr>
      <w:r>
        <w:rPr>
          <w:rFonts w:hint="default"/>
        </w:rPr>
        <w:t>- TRIzol and TRIzol LS Reagent.</w:t>
      </w:r>
    </w:p>
    <w:p w14:paraId="2E8E9A73">
      <w:pPr>
        <w:rPr>
          <w:rFonts w:hint="default"/>
        </w:rPr>
      </w:pPr>
      <w:r>
        <w:rPr>
          <w:rFonts w:hint="default"/>
        </w:rPr>
        <w:t>- DNase I (RNase-free).</w:t>
      </w:r>
    </w:p>
    <w:p w14:paraId="2C9351A9">
      <w:pPr>
        <w:rPr>
          <w:rFonts w:hint="default"/>
        </w:rPr>
      </w:pPr>
      <w:r>
        <w:rPr>
          <w:rFonts w:hint="default"/>
        </w:rPr>
        <w:t>- cDNA synthesis kit (e.g., High-Capacity cDNA Reverse Transcription Kit).</w:t>
      </w:r>
    </w:p>
    <w:p w14:paraId="54E88368">
      <w:pPr>
        <w:rPr>
          <w:rFonts w:hint="default"/>
        </w:rPr>
      </w:pPr>
      <w:r>
        <w:rPr>
          <w:rFonts w:hint="default"/>
        </w:rPr>
        <w:t>- Real-time PCR instrument and reagents (e.g., SsoAdvanced Universal SYBR Green Supermix).</w:t>
      </w:r>
    </w:p>
    <w:p w14:paraId="1C3845E2">
      <w:pPr>
        <w:rPr>
          <w:rFonts w:hint="default"/>
        </w:rPr>
      </w:pPr>
      <w:r>
        <w:rPr>
          <w:rFonts w:hint="default"/>
        </w:rPr>
        <w:t>- Gene-specific primers for FHV, target aphid genes, and aphid reference genes.</w:t>
      </w:r>
    </w:p>
    <w:p w14:paraId="067573D3">
      <w:pPr>
        <w:rPr>
          <w:rFonts w:hint="default"/>
        </w:rPr>
      </w:pPr>
      <w:r>
        <w:rPr>
          <w:rFonts w:hint="default"/>
        </w:rPr>
        <w:t>- Equipment for Northern blotting, SDS-PAGE, and Western blotting.</w:t>
      </w:r>
    </w:p>
    <w:p w14:paraId="5DA02ADE">
      <w:pPr>
        <w:rPr>
          <w:rFonts w:hint="default"/>
        </w:rPr>
      </w:pPr>
      <w:r>
        <w:rPr>
          <w:rFonts w:hint="default"/>
        </w:rPr>
        <w:t>- Antibodies: anti-GFP, HRP-conjugated secondary antibodies.</w:t>
      </w:r>
    </w:p>
    <w:p w14:paraId="5C783078">
      <w:pPr>
        <w:rPr>
          <w:rFonts w:hint="default"/>
        </w:rPr>
      </w:pPr>
      <w:r>
        <w:rPr>
          <w:rFonts w:hint="default"/>
        </w:rPr>
        <w:t>- Transmission Electron Microscope (for visualization).</w:t>
      </w:r>
    </w:p>
    <w:p w14:paraId="6C928E5B">
      <w:pPr>
        <w:rPr>
          <w:rFonts w:hint="default"/>
        </w:rPr>
      </w:pPr>
      <w:r>
        <w:rPr>
          <w:rFonts w:hint="default"/>
        </w:rPr>
        <w:t>$</w:t>
      </w:r>
    </w:p>
    <w:p w14:paraId="37A7971F">
      <w:pPr>
        <w:rPr>
          <w:rFonts w:hint="default"/>
        </w:rPr>
      </w:pPr>
      <w:r>
        <w:rPr>
          <w:rFonts w:hint="default"/>
        </w:rPr>
        <w:t>Controls_and_validation:</w:t>
      </w:r>
    </w:p>
    <w:p w14:paraId="6F861C67">
      <w:pPr>
        <w:rPr>
          <w:rFonts w:hint="default"/>
        </w:rPr>
      </w:pPr>
      <w:r>
        <w:rPr>
          <w:rFonts w:hint="default"/>
        </w:rPr>
        <w:t>- Positive control for infection: Detection of viral RNA/protein in samples from inoculated plants or treated aphids.</w:t>
      </w:r>
    </w:p>
    <w:p w14:paraId="25049792">
      <w:pPr>
        <w:rPr>
          <w:rFonts w:hint="default"/>
        </w:rPr>
      </w:pPr>
      <w:r>
        <w:rPr>
          <w:rFonts w:hint="default"/>
        </w:rPr>
        <w:t>- Negative control for infection: Samples from mock-treated plants or aphids.</w:t>
      </w:r>
    </w:p>
    <w:p w14:paraId="38B7E660">
      <w:pPr>
        <w:rPr>
          <w:rFonts w:hint="default"/>
        </w:rPr>
      </w:pPr>
      <w:r>
        <w:rPr>
          <w:rFonts w:hint="default"/>
        </w:rPr>
        <w:t>- Positive control for RNAi: A known effective RNAi trigger if available.</w:t>
      </w:r>
    </w:p>
    <w:p w14:paraId="6C545281">
      <w:pPr>
        <w:rPr>
          <w:rFonts w:hint="default"/>
        </w:rPr>
      </w:pPr>
      <w:r>
        <w:rPr>
          <w:rFonts w:hint="default"/>
        </w:rPr>
        <w:t>- Validation logic: A significant reduction in target mRNA levels (e.g., 30-50% for CatL/ST4) in aphids treated with target-specific virions compared to control virions (e.g., GFP) confirms sequence-specific RNAi. Detection of viral subgenomic RNA by Northern blot confirms active viral replication in aphids.</w:t>
      </w:r>
    </w:p>
    <w:p w14:paraId="6E21A6A6">
      <w:pPr>
        <w:rPr>
          <w:rFonts w:hint="default"/>
        </w:rPr>
      </w:pPr>
      <w:r>
        <w:rPr>
          <w:rFonts w:hint="default"/>
        </w:rPr>
        <w:t>$</w:t>
      </w:r>
    </w:p>
    <w:p w14:paraId="23EA31C4">
      <w:pPr>
        <w:rPr>
          <w:rFonts w:hint="default"/>
        </w:rPr>
      </w:pPr>
      <w:r>
        <w:rPr>
          <w:rFonts w:hint="default"/>
        </w:rPr>
        <w:t>Notes:</w:t>
      </w:r>
    </w:p>
    <w:p w14:paraId="42C64C2E">
      <w:pPr>
        <w:rPr>
          <w:rFonts w:hint="default"/>
        </w:rPr>
      </w:pPr>
      <w:r>
        <w:rPr>
          <w:rFonts w:hint="default"/>
        </w:rPr>
        <w:t>- For aphid gene knockdown analysis, design qPCR primers for the target gene that do not overlap exactly with the fragment cloned into the virus to avoid quantifying viral transcripts.</w:t>
      </w:r>
    </w:p>
    <w:p w14:paraId="3AE26AF6">
      <w:pPr>
        <w:rPr>
          <w:rFonts w:hint="default"/>
        </w:rPr>
      </w:pPr>
      <w:r>
        <w:rPr>
          <w:rFonts w:hint="default"/>
        </w:rPr>
        <w:t>- Use appropriate aphid reference genes (e.g., ribosomal protein genes) for normalization in RT-qPCR.</w:t>
      </w:r>
    </w:p>
    <w:p w14:paraId="798C139E">
      <w:pPr>
        <w:rPr>
          <w:rFonts w:hint="default"/>
        </w:rPr>
      </w:pPr>
      <w:r>
        <w:rPr>
          <w:rFonts w:hint="default"/>
        </w:rPr>
        <w:t>- Northern blotting with a probe against FHV sgRNA3 is a specific way to detect viral replication in insects.</w:t>
      </w:r>
    </w:p>
    <w:p w14:paraId="04FD8C21">
      <w:pPr>
        <w:rPr>
          <w:rFonts w:hint="default"/>
        </w:rPr>
      </w:pPr>
      <w:r>
        <w:rPr>
          <w:rFonts w:hint="default"/>
        </w:rPr>
        <w:t>{}</w:t>
      </w:r>
    </w:p>
    <w:p w14:paraId="2C6591AC">
      <w:pPr>
        <w:rPr>
          <w:rFonts w:hint="default"/>
        </w:rPr>
      </w:pPr>
      <w:r>
        <w:rPr>
          <w:rFonts w:hint="default"/>
        </w:rPr>
        <w:t>$</w:t>
      </w:r>
    </w:p>
    <w:p w14:paraId="73D58528">
      <w:pPr>
        <w:rPr>
          <w:rFonts w:hint="default"/>
        </w:rPr>
      </w:pPr>
      <w:r>
        <w:rPr>
          <w:rFonts w:hint="default"/>
        </w:rPr>
        <w:t>Sub-protocol 5: Molecular Validation (Continued - Analysis in Aphids)</w:t>
      </w:r>
    </w:p>
    <w:p w14:paraId="019AED82">
      <w:pPr>
        <w:rPr>
          <w:rFonts w:hint="default"/>
        </w:rPr>
      </w:pPr>
      <w:r>
        <w:rPr>
          <w:rFonts w:hint="default"/>
        </w:rPr>
        <w:t>[PROTOCOL_STAGE=PROCESSING_ANALYSIS]</w:t>
      </w:r>
    </w:p>
    <w:p w14:paraId="428FAD12">
      <w:pPr>
        <w:rPr>
          <w:rFonts w:hint="default"/>
        </w:rPr>
      </w:pPr>
      <w:r>
        <w:rPr>
          <w:rFonts w:hint="default"/>
        </w:rPr>
        <w:t>$</w:t>
      </w:r>
    </w:p>
    <w:p w14:paraId="169A0F57">
      <w:pPr>
        <w:rPr>
          <w:rFonts w:hint="default"/>
        </w:rPr>
      </w:pPr>
      <w:r>
        <w:rPr>
          <w:rFonts w:hint="default"/>
        </w:rPr>
        <w:t>Applicable_when:</w:t>
      </w:r>
    </w:p>
    <w:p w14:paraId="52FA9D8E">
      <w:pPr>
        <w:rPr>
          <w:rFonts w:hint="default"/>
        </w:rPr>
      </w:pPr>
      <w:r>
        <w:rPr>
          <w:rFonts w:hint="default"/>
        </w:rPr>
        <w:t>- (Continuation) Analyzing gene expression in aphids and confirming viral replication.</w:t>
      </w:r>
    </w:p>
    <w:p w14:paraId="11C37D32">
      <w:pPr>
        <w:rPr>
          <w:rFonts w:hint="default"/>
        </w:rPr>
      </w:pPr>
      <w:r>
        <w:rPr>
          <w:rFonts w:hint="default"/>
        </w:rPr>
        <w:t>$</w:t>
      </w:r>
    </w:p>
    <w:p w14:paraId="0F07399B">
      <w:pPr>
        <w:rPr>
          <w:rFonts w:hint="default"/>
        </w:rPr>
      </w:pPr>
      <w:r>
        <w:rPr>
          <w:rFonts w:hint="default"/>
        </w:rPr>
        <w:t>Purpose:</w:t>
      </w:r>
    </w:p>
    <w:p w14:paraId="6311AB6A">
      <w:pPr>
        <w:rPr>
          <w:rFonts w:hint="default"/>
        </w:rPr>
      </w:pPr>
      <w:r>
        <w:rPr>
          <w:rFonts w:hint="default"/>
        </w:rPr>
        <w:t>- To measure target gene knockdown and detect active FHV infection in treated aphids.</w:t>
      </w:r>
    </w:p>
    <w:p w14:paraId="74CE546E">
      <w:pPr>
        <w:rPr>
          <w:rFonts w:hint="default"/>
        </w:rPr>
      </w:pPr>
      <w:r>
        <w:rPr>
          <w:rFonts w:hint="default"/>
        </w:rPr>
        <w:t>$</w:t>
      </w:r>
    </w:p>
    <w:p w14:paraId="0B8F1261">
      <w:pPr>
        <w:rPr>
          <w:rFonts w:hint="default"/>
        </w:rPr>
      </w:pPr>
      <w:r>
        <w:rPr>
          <w:rFonts w:hint="default"/>
        </w:rPr>
        <w:t>Procedure:</w:t>
      </w:r>
    </w:p>
    <w:p w14:paraId="6FA53794">
      <w:pPr>
        <w:rPr>
          <w:rFonts w:hint="default"/>
        </w:rPr>
      </w:pPr>
      <w:r>
        <w:rPr>
          <w:rFonts w:hint="default"/>
        </w:rPr>
        <w:t>1. (Continued) RNAi Efficacy Measurement in Aphids:</w:t>
      </w:r>
    </w:p>
    <w:p w14:paraId="6482F283">
      <w:pPr>
        <w:rPr>
          <w:rFonts w:hint="default"/>
        </w:rPr>
      </w:pPr>
      <w:r>
        <w:rPr>
          <w:rFonts w:hint="default"/>
        </w:rPr>
        <w:t xml:space="preserve">   a. At desired time points post-treatment, collect aphids. Grind in liquid nitrogen.</w:t>
      </w:r>
    </w:p>
    <w:p w14:paraId="17796372">
      <w:pPr>
        <w:rPr>
          <w:rFonts w:hint="default"/>
        </w:rPr>
      </w:pPr>
      <w:r>
        <w:rPr>
          <w:rFonts w:hint="default"/>
        </w:rPr>
        <w:t xml:space="preserve">   b. Extract total RNA using TRIzol, treat with DNase I, and purify.</w:t>
      </w:r>
    </w:p>
    <w:p w14:paraId="73CA5909">
      <w:pPr>
        <w:rPr>
          <w:rFonts w:hint="default"/>
        </w:rPr>
      </w:pPr>
      <w:r>
        <w:rPr>
          <w:rFonts w:hint="default"/>
        </w:rPr>
        <w:t xml:space="preserve">   c. Synthesize cDNA.</w:t>
      </w:r>
    </w:p>
    <w:p w14:paraId="2F264BC3">
      <w:pPr>
        <w:rPr>
          <w:rFonts w:hint="default"/>
        </w:rPr>
      </w:pPr>
      <w:r>
        <w:rPr>
          <w:rFonts w:hint="default"/>
        </w:rPr>
        <w:t xml:space="preserve">   d. Perform RT-qPCR to quantify mRNA levels of the target aphid gene (e.g., CatL, ST4). Normalize to an aphid reference gene.</w:t>
      </w:r>
    </w:p>
    <w:p w14:paraId="69F562CB">
      <w:pPr>
        <w:rPr>
          <w:rFonts w:hint="default"/>
        </w:rPr>
      </w:pPr>
      <w:r>
        <w:rPr>
          <w:rFonts w:hint="default"/>
        </w:rPr>
        <w:t xml:space="preserve">   e. Compare expression levels between aphids treated with target-specific virions and control (e.g., GFP-virion) treated aphids.</w:t>
      </w:r>
    </w:p>
    <w:p w14:paraId="0D193A1D">
      <w:pPr>
        <w:rPr>
          <w:rFonts w:hint="default"/>
        </w:rPr>
      </w:pPr>
      <w:r>
        <w:rPr>
          <w:rFonts w:hint="default"/>
        </w:rPr>
        <w:t>2. Confirming FHV Replication in Aphids:</w:t>
      </w:r>
    </w:p>
    <w:p w14:paraId="1A025390">
      <w:pPr>
        <w:rPr>
          <w:rFonts w:hint="default"/>
        </w:rPr>
      </w:pPr>
      <w:r>
        <w:rPr>
          <w:rFonts w:hint="default"/>
        </w:rPr>
        <w:t xml:space="preserve">   a. Extract total RNA from treated aphids.</w:t>
      </w:r>
    </w:p>
    <w:p w14:paraId="67C9E19F">
      <w:pPr>
        <w:rPr>
          <w:rFonts w:hint="default"/>
        </w:rPr>
      </w:pPr>
      <w:r>
        <w:rPr>
          <w:rFonts w:hint="default"/>
        </w:rPr>
        <w:t xml:space="preserve">   b. Perform Northern blot analysis using a radiolabeled antisense probe targeting FHV subgenomic RNA3 (which also detects genomic RNA1). This confirms active viral replication, not just passive presence of virions.</w:t>
      </w:r>
    </w:p>
    <w:p w14:paraId="413000E5">
      <w:pPr>
        <w:rPr>
          <w:rFonts w:hint="default"/>
        </w:rPr>
      </w:pPr>
      <w:r>
        <w:rPr>
          <w:rFonts w:hint="default"/>
        </w:rPr>
        <w:t>3. Optional Protein Detection:</w:t>
      </w:r>
    </w:p>
    <w:p w14:paraId="71B6AA8C">
      <w:pPr>
        <w:rPr>
          <w:rFonts w:hint="default"/>
        </w:rPr>
      </w:pPr>
      <w:r>
        <w:rPr>
          <w:rFonts w:hint="default"/>
        </w:rPr>
        <w:t xml:space="preserve">   a. If using a reporter like GFP, perform Western blot on aphid protein extracts using an anti-GFP antibody to confirm expression from the engineered virus.</w:t>
      </w:r>
    </w:p>
    <w:p w14:paraId="6B8B9842">
      <w:pPr>
        <w:rPr>
          <w:rFonts w:hint="default"/>
        </w:rPr>
      </w:pPr>
      <w:r>
        <w:rPr>
          <w:rFonts w:hint="default"/>
        </w:rPr>
        <w:t>$</w:t>
      </w:r>
    </w:p>
    <w:p w14:paraId="01698C74">
      <w:pPr>
        <w:rPr>
          <w:rFonts w:hint="default"/>
        </w:rPr>
      </w:pPr>
      <w:r>
        <w:rPr>
          <w:rFonts w:hint="default"/>
        </w:rPr>
        <w:t>Key_materials_and_equipment:</w:t>
      </w:r>
    </w:p>
    <w:p w14:paraId="388BDEC8">
      <w:pPr>
        <w:rPr>
          <w:rFonts w:hint="default"/>
        </w:rPr>
      </w:pPr>
      <w:r>
        <w:rPr>
          <w:rFonts w:hint="default"/>
        </w:rPr>
        <w:t>- (Same as previous segment)</w:t>
      </w:r>
    </w:p>
    <w:p w14:paraId="0C0D866D">
      <w:pPr>
        <w:rPr>
          <w:rFonts w:hint="default"/>
        </w:rPr>
      </w:pPr>
      <w:r>
        <w:rPr>
          <w:rFonts w:hint="default"/>
        </w:rPr>
        <w:t>$</w:t>
      </w:r>
    </w:p>
    <w:p w14:paraId="20FDBE00">
      <w:pPr>
        <w:rPr>
          <w:rFonts w:hint="default"/>
        </w:rPr>
      </w:pPr>
      <w:r>
        <w:rPr>
          <w:rFonts w:hint="default"/>
        </w:rPr>
        <w:t>Controls_and_validation:</w:t>
      </w:r>
    </w:p>
    <w:p w14:paraId="613AD27B">
      <w:pPr>
        <w:rPr>
          <w:rFonts w:hint="default"/>
        </w:rPr>
      </w:pPr>
      <w:r>
        <w:rPr>
          <w:rFonts w:hint="default"/>
        </w:rPr>
        <w:t>- (Same as previous segment)</w:t>
      </w:r>
    </w:p>
    <w:p w14:paraId="09527862">
      <w:pPr>
        <w:rPr>
          <w:rFonts w:hint="default"/>
        </w:rPr>
      </w:pPr>
      <w:r>
        <w:rPr>
          <w:rFonts w:hint="default"/>
        </w:rPr>
        <w:t>$</w:t>
      </w:r>
    </w:p>
    <w:p w14:paraId="43FB40EE">
      <w:pPr>
        <w:rPr>
          <w:rFonts w:hint="default"/>
        </w:rPr>
      </w:pPr>
      <w:r>
        <w:rPr>
          <w:rFonts w:hint="default"/>
        </w:rPr>
        <w:t>Notes:</w:t>
      </w:r>
    </w:p>
    <w:p w14:paraId="487A6219">
      <w:pPr>
        <w:rPr>
          <w:rFonts w:hint="default"/>
        </w:rPr>
      </w:pPr>
      <w:r>
        <w:rPr>
          <w:rFonts w:hint="default"/>
        </w:rPr>
        <w:t>- Timing of sample collection is important. Gene knockdown was measured at defined days post-injection/feeding in the study.</w:t>
      </w:r>
    </w:p>
    <w:p w14:paraId="1D494EC1">
      <w:pPr>
        <w:rPr>
          <w:rFonts w:hint="default"/>
        </w:rPr>
      </w:pPr>
      <w:r>
        <w:rPr>
          <w:rFonts w:hint="default"/>
        </w:rPr>
        <w:t>- Include biological replicates (multiple individual aphids or pools per treatment).</w:t>
      </w:r>
    </w:p>
    <w:p w14:paraId="3A7A6F02">
      <w:pPr>
        <w:rPr>
          <w:rFonts w:hint="default"/>
        </w:rPr>
      </w:pPr>
      <w:r>
        <w:rPr>
          <w:rFonts w:hint="default"/>
        </w:rPr>
        <w:t>- Statistical analysis is required to determine the significance of differences in gene expression and mortality rates.</w:t>
      </w:r>
    </w:p>
    <w:p w14:paraId="2C24D8B6">
      <w:pPr>
        <w:rPr>
          <w:rFonts w:hint="default"/>
          <w:lang w:val="en-US" w:eastAsia="zh-CN"/>
        </w:rPr>
      </w:pPr>
      <w:r>
        <w:rPr>
          <w:rFonts w:hint="default"/>
        </w:rPr>
        <w:t>{}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3F5B92"/>
    <w:rsid w:val="2A0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2119</Words>
  <Characters>11252</Characters>
  <Lines>0</Lines>
  <Paragraphs>0</Paragraphs>
  <TotalTime>3</TotalTime>
  <ScaleCrop>false</ScaleCrop>
  <LinksUpToDate>false</LinksUpToDate>
  <CharactersWithSpaces>13281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2026-01-19T08:46:00Z</dcterms:created>
  <dc:creator>DELL</dc:creator>
  <cp:lastModifiedBy>李宗桓</cp:lastModifiedBy>
  <dcterms:modified xsi:type="dcterms:W3CDTF">2026-01-20T08:27:39Z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83AFCD2E179E4621BD53AC8EF4FBCF82_12</vt:lpwstr>
  </property>
</Properties>
</file>