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051E7">
      <w:pPr>
        <w:rPr>
          <w:rFonts w:hint="default"/>
        </w:rPr>
      </w:pPr>
      <w:r>
        <w:rPr>
          <w:rFonts w:hint="default"/>
        </w:rPr>
        <w:t>{}</w:t>
      </w:r>
    </w:p>
    <w:p w14:paraId="57244110">
      <w:pPr>
        <w:rPr>
          <w:rFonts w:hint="default"/>
        </w:rPr>
      </w:pPr>
      <w:r>
        <w:rPr>
          <w:rFonts w:hint="default"/>
        </w:rPr>
        <w:t>$</w:t>
      </w:r>
    </w:p>
    <w:p w14:paraId="1BEBF68F">
      <w:pPr>
        <w:rPr>
          <w:rFonts w:hint="default"/>
        </w:rPr>
      </w:pPr>
      <w:r>
        <w:rPr>
          <w:rFonts w:hint="default"/>
        </w:rPr>
        <w:t>Title: Silencing of sucrose hydrolase causes nymph mortality and disturbs adult osmotic homeostasis in Diaphorina citri (Hemiptera: Liviidae)</w:t>
      </w:r>
    </w:p>
    <w:p w14:paraId="7E490F10">
      <w:pPr>
        <w:rPr>
          <w:rFonts w:hint="default"/>
        </w:rPr>
      </w:pPr>
      <w:r>
        <w:rPr>
          <w:rFonts w:hint="default"/>
        </w:rPr>
        <w:t>Source: Insect Biochemistry and Molecular Biology</w:t>
      </w:r>
    </w:p>
    <w:p w14:paraId="0C5F80F6">
      <w:pPr>
        <w:rPr>
          <w:rFonts w:hint="default"/>
        </w:rPr>
      </w:pPr>
      <w:r>
        <w:rPr>
          <w:rFonts w:hint="default"/>
        </w:rPr>
        <w:t>DOI: 10.1016/j.ibmb.2018.09.003</w:t>
      </w:r>
    </w:p>
    <w:p w14:paraId="2478B75E">
      <w:pPr>
        <w:rPr>
          <w:rFonts w:hint="default"/>
        </w:rPr>
      </w:pPr>
      <w:r>
        <w:rPr>
          <w:rFonts w:hint="default"/>
        </w:rPr>
        <w:t>Year: 2018</w:t>
      </w:r>
    </w:p>
    <w:p w14:paraId="5BAB369A">
      <w:pPr>
        <w:rPr>
          <w:rFonts w:hint="default"/>
        </w:rPr>
      </w:pPr>
      <w:r>
        <w:rPr>
          <w:rFonts w:hint="default"/>
        </w:rPr>
        <w:t>$</w:t>
      </w:r>
    </w:p>
    <w:p w14:paraId="3CAB8AC0">
      <w:pPr>
        <w:rPr>
          <w:rFonts w:hint="default"/>
        </w:rPr>
      </w:pPr>
      <w:r>
        <w:rPr>
          <w:rFonts w:hint="default"/>
        </w:rPr>
        <w:t>Metadata:</w:t>
      </w:r>
    </w:p>
    <w:p w14:paraId="47D4C51F">
      <w:pPr>
        <w:rPr>
          <w:rFonts w:hint="default"/>
        </w:rPr>
      </w:pPr>
      <w:r>
        <w:rPr>
          <w:rFonts w:hint="default"/>
        </w:rPr>
        <w:t>- Source: Insect Biochemistry and Molecular Biology</w:t>
      </w:r>
    </w:p>
    <w:p w14:paraId="5E1E88E0">
      <w:pPr>
        <w:rPr>
          <w:rFonts w:hint="default"/>
        </w:rPr>
      </w:pPr>
      <w:r>
        <w:rPr>
          <w:rFonts w:hint="default"/>
        </w:rPr>
        <w:t>- DOI: 10.1016/j.ibmb.2018.09.003</w:t>
      </w:r>
    </w:p>
    <w:p w14:paraId="4FC89B09">
      <w:pPr>
        <w:rPr>
          <w:rFonts w:hint="default"/>
        </w:rPr>
      </w:pPr>
      <w:r>
        <w:rPr>
          <w:rFonts w:hint="default"/>
        </w:rPr>
        <w:t>- Year: 2018</w:t>
      </w:r>
    </w:p>
    <w:p w14:paraId="1CDF4F9D">
      <w:pPr>
        <w:rPr>
          <w:rFonts w:hint="default"/>
        </w:rPr>
      </w:pPr>
      <w:r>
        <w:rPr>
          <w:rFonts w:hint="default"/>
        </w:rPr>
        <w:t>- Journal: Insect Biochemistry and Molecular Biology</w:t>
      </w:r>
    </w:p>
    <w:p w14:paraId="7FCC7164">
      <w:pPr>
        <w:rPr>
          <w:rFonts w:hint="default"/>
        </w:rPr>
      </w:pPr>
      <w:r>
        <w:rPr>
          <w:rFonts w:hint="default"/>
        </w:rPr>
        <w:t>- Scope: Target identification, dsRNA delivery, and multi-level phenotypic analysis</w:t>
      </w:r>
    </w:p>
    <w:p w14:paraId="60FE3C77">
      <w:pPr>
        <w:rPr>
          <w:rFonts w:hint="default"/>
        </w:rPr>
      </w:pPr>
      <w:r>
        <w:rPr>
          <w:rFonts w:hint="default"/>
        </w:rPr>
        <w:t>- Study_type: Experimental methodology</w:t>
      </w:r>
    </w:p>
    <w:p w14:paraId="45F7AE70">
      <w:pPr>
        <w:rPr>
          <w:rFonts w:hint="default"/>
        </w:rPr>
      </w:pPr>
      <w:r>
        <w:rPr>
          <w:rFonts w:hint="default"/>
        </w:rPr>
        <w:t>- Target_context: Inducing RNAi via topical dsRNA application to study gene function and assess control potential in a phloem-feeding insect.</w:t>
      </w:r>
    </w:p>
    <w:p w14:paraId="09536447">
      <w:pPr>
        <w:rPr>
          <w:rFonts w:hint="default"/>
        </w:rPr>
      </w:pPr>
      <w:r>
        <w:rPr>
          <w:rFonts w:hint="default"/>
        </w:rPr>
        <w:t>- Organism_or_system: Diaphorina citri (Asian citrus psyllid)</w:t>
      </w:r>
    </w:p>
    <w:p w14:paraId="062E58B3">
      <w:pPr>
        <w:rPr>
          <w:rFonts w:hint="default"/>
        </w:rPr>
      </w:pPr>
      <w:r>
        <w:rPr>
          <w:rFonts w:hint="default"/>
        </w:rPr>
        <w:t>- Developmental_stage: Nymphs (all instars, especially 4th and 5th) and adults (teneral and mature).</w:t>
      </w:r>
    </w:p>
    <w:p w14:paraId="3B3C7A48">
      <w:pPr>
        <w:rPr>
          <w:rFonts w:hint="default"/>
        </w:rPr>
      </w:pPr>
      <w:r>
        <w:rPr>
          <w:rFonts w:hint="default"/>
        </w:rPr>
        <w:t>- Delivery_mode: Topical application (feeding) of dsRNA droplet to the ventral thorax.</w:t>
      </w:r>
    </w:p>
    <w:p w14:paraId="56A98CB0">
      <w:pPr>
        <w:rPr>
          <w:rFonts w:hint="default"/>
        </w:rPr>
      </w:pPr>
      <w:r>
        <w:rPr>
          <w:rFonts w:hint="default"/>
        </w:rPr>
        <w:t>- Molecule_or_intervention_type: Double-stranded RNA (dsRNA) targeting the sucrose hydrolase gene (DcSuh).</w:t>
      </w:r>
    </w:p>
    <w:p w14:paraId="2AE8FD68">
      <w:pPr>
        <w:rPr>
          <w:rFonts w:hint="default"/>
        </w:rPr>
      </w:pPr>
      <w:r>
        <w:rPr>
          <w:rFonts w:hint="default"/>
        </w:rPr>
        <w:t>- Application_context: Functional genomics and evaluation of DcSuh as a target for RNAi-based psyllid management.</w:t>
      </w:r>
    </w:p>
    <w:p w14:paraId="19619D59">
      <w:pPr>
        <w:rPr>
          <w:rFonts w:hint="default"/>
        </w:rPr>
      </w:pPr>
      <w:r>
        <w:rPr>
          <w:rFonts w:hint="default"/>
        </w:rPr>
        <w:t>- Validation_level: Gene knockdown confirmed by qRT-PCR, enzymatic activity assay, metabolomic profiling (GC-MS), and comprehensive phenotypic assays (mortality, lifespan, morphology).</w:t>
      </w:r>
    </w:p>
    <w:p w14:paraId="559BC70B">
      <w:pPr>
        <w:rPr>
          <w:rFonts w:hint="default"/>
        </w:rPr>
      </w:pPr>
      <w:r>
        <w:rPr>
          <w:rFonts w:hint="default"/>
        </w:rPr>
        <w:t>- Target_gene_or_pathway: Diaphorina citri sucrose hydrolase (DcSuh) gene.</w:t>
      </w:r>
    </w:p>
    <w:p w14:paraId="70644E82">
      <w:pPr>
        <w:rPr>
          <w:rFonts w:hint="default"/>
        </w:rPr>
      </w:pPr>
      <w:r>
        <w:rPr>
          <w:rFonts w:hint="default"/>
        </w:rPr>
        <w:t>$</w:t>
      </w:r>
    </w:p>
    <w:p w14:paraId="6B3A8D59">
      <w:pPr>
        <w:rPr>
          <w:rFonts w:hint="default"/>
        </w:rPr>
      </w:pPr>
      <w:r>
        <w:rPr>
          <w:rFonts w:hint="default"/>
        </w:rPr>
        <w:t>Usage_note:</w:t>
      </w:r>
    </w:p>
    <w:p w14:paraId="5DB73473">
      <w:pPr>
        <w:rPr>
          <w:rFonts w:hint="default"/>
        </w:rPr>
      </w:pPr>
      <w:r>
        <w:rPr>
          <w:rFonts w:hint="default"/>
        </w:rPr>
        <w:t>- Intended use: Protocol for topical delivery of dsRNA to D. citri nymphs and adults to silence target genes, and for subsequent multi-parametric validation of RNAi effects.</w:t>
      </w:r>
    </w:p>
    <w:p w14:paraId="092BE13E">
      <w:pPr>
        <w:rPr>
          <w:rFonts w:hint="default"/>
        </w:rPr>
      </w:pPr>
      <w:r>
        <w:rPr>
          <w:rFonts w:hint="default"/>
        </w:rPr>
        <w:t>- Adaptation notice: The topical application method is specific to psyllids and similar small, soft-bodied insects. The dsRNA concentration (500 ng/µL) and volume (0.2 µL) are optimized for DcSuh; these parameters may require optimization for other targets or insect species.</w:t>
      </w:r>
    </w:p>
    <w:p w14:paraId="481EE105">
      <w:pPr>
        <w:rPr>
          <w:rFonts w:hint="default"/>
        </w:rPr>
      </w:pPr>
      <w:r>
        <w:rPr>
          <w:rFonts w:hint="default"/>
        </w:rPr>
        <w:t>{}</w:t>
      </w:r>
    </w:p>
    <w:p w14:paraId="477726C0">
      <w:pPr>
        <w:rPr>
          <w:rFonts w:hint="default"/>
        </w:rPr>
      </w:pPr>
      <w:r>
        <w:rPr>
          <w:rFonts w:hint="default"/>
        </w:rPr>
        <w:t>$</w:t>
      </w:r>
    </w:p>
    <w:p w14:paraId="2D831F1F">
      <w:pPr>
        <w:rPr>
          <w:rFonts w:hint="default"/>
        </w:rPr>
      </w:pPr>
      <w:r>
        <w:rPr>
          <w:rFonts w:hint="default"/>
        </w:rPr>
        <w:t>Sub-protocol 1: Insect Rearing and Stage Synchronization</w:t>
      </w:r>
    </w:p>
    <w:p w14:paraId="1A2B92DF">
      <w:pPr>
        <w:rPr>
          <w:rFonts w:hint="default"/>
        </w:rPr>
      </w:pPr>
      <w:r>
        <w:rPr>
          <w:rFonts w:hint="default"/>
        </w:rPr>
        <w:t>[PROTOCOL_STAGE=CULTURE_MAINTENANCE]</w:t>
      </w:r>
    </w:p>
    <w:p w14:paraId="4D56F857">
      <w:pPr>
        <w:rPr>
          <w:rFonts w:hint="default"/>
        </w:rPr>
      </w:pPr>
      <w:r>
        <w:rPr>
          <w:rFonts w:hint="default"/>
        </w:rPr>
        <w:t>$</w:t>
      </w:r>
    </w:p>
    <w:p w14:paraId="06586A0D">
      <w:pPr>
        <w:rPr>
          <w:rFonts w:hint="default"/>
        </w:rPr>
      </w:pPr>
      <w:r>
        <w:rPr>
          <w:rFonts w:hint="default"/>
        </w:rPr>
        <w:t>Applicable_when:</w:t>
      </w:r>
    </w:p>
    <w:p w14:paraId="2A814BCB">
      <w:pPr>
        <w:rPr>
          <w:rFonts w:hint="default"/>
        </w:rPr>
      </w:pPr>
      <w:r>
        <w:rPr>
          <w:rFonts w:hint="default"/>
        </w:rPr>
        <w:t>- Maintaining a colony of Diaphorina citri for RNAi experiments.</w:t>
      </w:r>
    </w:p>
    <w:p w14:paraId="1091AE25">
      <w:pPr>
        <w:rPr>
          <w:rFonts w:hint="default"/>
        </w:rPr>
      </w:pPr>
      <w:r>
        <w:rPr>
          <w:rFonts w:hint="default"/>
        </w:rPr>
        <w:t>- Obtaining specific, synchronized life stages for treatment and analysis.</w:t>
      </w:r>
    </w:p>
    <w:p w14:paraId="4A8159A5">
      <w:pPr>
        <w:rPr>
          <w:rFonts w:hint="default"/>
        </w:rPr>
      </w:pPr>
      <w:r>
        <w:rPr>
          <w:rFonts w:hint="default"/>
        </w:rPr>
        <w:t>$</w:t>
      </w:r>
    </w:p>
    <w:p w14:paraId="72BE09D5">
      <w:pPr>
        <w:rPr>
          <w:rFonts w:hint="default"/>
        </w:rPr>
      </w:pPr>
      <w:r>
        <w:rPr>
          <w:rFonts w:hint="default"/>
        </w:rPr>
        <w:t>Purpose:</w:t>
      </w:r>
    </w:p>
    <w:p w14:paraId="37A4F116">
      <w:pPr>
        <w:rPr>
          <w:rFonts w:hint="default"/>
        </w:rPr>
      </w:pPr>
      <w:r>
        <w:rPr>
          <w:rFonts w:hint="default"/>
        </w:rPr>
        <w:t>- To produce healthy, age-defined populations of D. citri nymphs and adults for consistent dsRNA topical application and phenotypic assessment.</w:t>
      </w:r>
    </w:p>
    <w:p w14:paraId="0B2EB259">
      <w:pPr>
        <w:rPr>
          <w:rFonts w:hint="default"/>
        </w:rPr>
      </w:pPr>
      <w:r>
        <w:rPr>
          <w:rFonts w:hint="default"/>
        </w:rPr>
        <w:t>$</w:t>
      </w:r>
    </w:p>
    <w:p w14:paraId="2078C5BF">
      <w:pPr>
        <w:rPr>
          <w:rFonts w:hint="default"/>
        </w:rPr>
      </w:pPr>
      <w:r>
        <w:rPr>
          <w:rFonts w:hint="default"/>
        </w:rPr>
        <w:t>Procedure:</w:t>
      </w:r>
    </w:p>
    <w:p w14:paraId="071B5D04">
      <w:pPr>
        <w:rPr>
          <w:rFonts w:hint="default"/>
        </w:rPr>
      </w:pPr>
      <w:r>
        <w:rPr>
          <w:rFonts w:hint="default"/>
        </w:rPr>
        <w:t>1. Rear D. citri colonies on Citrus macrophylla plants within insect rearing cages (60 x 60 x 90 cm).</w:t>
      </w:r>
    </w:p>
    <w:p w14:paraId="21EFE003">
      <w:pPr>
        <w:rPr>
          <w:rFonts w:hint="default"/>
        </w:rPr>
      </w:pPr>
      <w:r>
        <w:rPr>
          <w:rFonts w:hint="default"/>
        </w:rPr>
        <w:t>2. Maintain cages in temperature-controlled growth rooms at 25 ± 3°C, 60% ± 5% relative humidity, with a 16:8 hour light:dark photoperiod.</w:t>
      </w:r>
    </w:p>
    <w:p w14:paraId="2F0B17C1">
      <w:pPr>
        <w:rPr>
          <w:rFonts w:hint="default"/>
        </w:rPr>
      </w:pPr>
      <w:r>
        <w:rPr>
          <w:rFonts w:hint="default"/>
        </w:rPr>
        <w:t>3. To collect specific stages, transfer nymphs to Petri dishes using a fine camel hair brush.</w:t>
      </w:r>
    </w:p>
    <w:p w14:paraId="74BC89EA">
      <w:pPr>
        <w:rPr>
          <w:rFonts w:hint="default"/>
        </w:rPr>
      </w:pPr>
      <w:r>
        <w:rPr>
          <w:rFonts w:hint="default"/>
        </w:rPr>
        <w:t>4. Examine nymphs under a stereomicroscope and classify them into instars (I to V) based on morphological features.</w:t>
      </w:r>
    </w:p>
    <w:p w14:paraId="15D74B4F">
      <w:pPr>
        <w:rPr>
          <w:rFonts w:hint="default"/>
        </w:rPr>
      </w:pPr>
      <w:r>
        <w:rPr>
          <w:rFonts w:hint="default"/>
        </w:rPr>
        <w:t>5. Collect teneral (newly emerged) and mature adults using an insect aspirator.</w:t>
      </w:r>
    </w:p>
    <w:p w14:paraId="4C8B9472">
      <w:pPr>
        <w:rPr>
          <w:rFonts w:hint="default"/>
        </w:rPr>
      </w:pPr>
      <w:r>
        <w:rPr>
          <w:rFonts w:hint="default"/>
        </w:rPr>
        <w:t>$</w:t>
      </w:r>
    </w:p>
    <w:p w14:paraId="0460E14C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278F08C2">
      <w:pPr>
        <w:rPr>
          <w:rFonts w:hint="default"/>
        </w:rPr>
      </w:pPr>
      <w:r>
        <w:rPr>
          <w:rFonts w:hint="default"/>
        </w:rPr>
        <w:t>- Citrus macrophylla plants.</w:t>
      </w:r>
    </w:p>
    <w:p w14:paraId="0AAEAEE2">
      <w:pPr>
        <w:rPr>
          <w:rFonts w:hint="default"/>
        </w:rPr>
      </w:pPr>
      <w:r>
        <w:rPr>
          <w:rFonts w:hint="default"/>
        </w:rPr>
        <w:t>- Insect rearing cages.</w:t>
      </w:r>
    </w:p>
    <w:p w14:paraId="46672C95">
      <w:pPr>
        <w:rPr>
          <w:rFonts w:hint="default"/>
        </w:rPr>
      </w:pPr>
      <w:r>
        <w:rPr>
          <w:rFonts w:hint="default"/>
        </w:rPr>
        <w:t>- Environmental growth rooms with controlled temperature, humidity, and light.</w:t>
      </w:r>
    </w:p>
    <w:p w14:paraId="24CEE057">
      <w:pPr>
        <w:rPr>
          <w:rFonts w:hint="default"/>
        </w:rPr>
      </w:pPr>
      <w:r>
        <w:rPr>
          <w:rFonts w:hint="default"/>
        </w:rPr>
        <w:t>- Stereomicroscope.</w:t>
      </w:r>
    </w:p>
    <w:p w14:paraId="6E89672F">
      <w:pPr>
        <w:rPr>
          <w:rFonts w:hint="default"/>
        </w:rPr>
      </w:pPr>
      <w:r>
        <w:rPr>
          <w:rFonts w:hint="default"/>
        </w:rPr>
        <w:t>- Fine camel hair brushes.</w:t>
      </w:r>
    </w:p>
    <w:p w14:paraId="3DFB0F55">
      <w:pPr>
        <w:rPr>
          <w:rFonts w:hint="default"/>
        </w:rPr>
      </w:pPr>
      <w:r>
        <w:rPr>
          <w:rFonts w:hint="default"/>
        </w:rPr>
        <w:t>- Insect aspirator.</w:t>
      </w:r>
    </w:p>
    <w:p w14:paraId="2F53A162">
      <w:pPr>
        <w:rPr>
          <w:rFonts w:hint="default"/>
        </w:rPr>
      </w:pPr>
      <w:r>
        <w:rPr>
          <w:rFonts w:hint="default"/>
        </w:rPr>
        <w:t>$</w:t>
      </w:r>
    </w:p>
    <w:p w14:paraId="3E30C2DF">
      <w:pPr>
        <w:rPr>
          <w:rFonts w:hint="default"/>
        </w:rPr>
      </w:pPr>
      <w:r>
        <w:rPr>
          <w:rFonts w:hint="default"/>
        </w:rPr>
        <w:t>Controls_and_validation:</w:t>
      </w:r>
    </w:p>
    <w:p w14:paraId="328B4201">
      <w:pPr>
        <w:rPr>
          <w:rFonts w:hint="default"/>
        </w:rPr>
      </w:pPr>
      <w:r>
        <w:rPr>
          <w:rFonts w:hint="default"/>
        </w:rPr>
        <w:t>- Positive control: A healthy, reproducing colony indicates proper rearing conditions.</w:t>
      </w:r>
    </w:p>
    <w:p w14:paraId="3AAA85BC">
      <w:pPr>
        <w:rPr>
          <w:rFonts w:hint="default"/>
        </w:rPr>
      </w:pPr>
      <w:r>
        <w:rPr>
          <w:rFonts w:hint="default"/>
        </w:rPr>
        <w:t>- Negative control: Not applicable for maintenance.</w:t>
      </w:r>
    </w:p>
    <w:p w14:paraId="77F5C2DD">
      <w:pPr>
        <w:rPr>
          <w:rFonts w:hint="default"/>
        </w:rPr>
      </w:pPr>
      <w:r>
        <w:rPr>
          <w:rFonts w:hint="default"/>
        </w:rPr>
        <w:t>- Validation logic: Successful collection of defined instars and adults for experiments validates the synchronization and rearing process.</w:t>
      </w:r>
    </w:p>
    <w:p w14:paraId="5A0B49AB">
      <w:pPr>
        <w:rPr>
          <w:rFonts w:hint="default"/>
        </w:rPr>
      </w:pPr>
      <w:r>
        <w:rPr>
          <w:rFonts w:hint="default"/>
        </w:rPr>
        <w:t>$</w:t>
      </w:r>
    </w:p>
    <w:p w14:paraId="3C6AB483">
      <w:pPr>
        <w:rPr>
          <w:rFonts w:hint="default"/>
        </w:rPr>
      </w:pPr>
      <w:r>
        <w:rPr>
          <w:rFonts w:hint="default"/>
        </w:rPr>
        <w:t>Notes:</w:t>
      </w:r>
    </w:p>
    <w:p w14:paraId="4D72B4C0">
      <w:pPr>
        <w:rPr>
          <w:rFonts w:hint="default"/>
        </w:rPr>
      </w:pPr>
      <w:r>
        <w:rPr>
          <w:rFonts w:hint="default"/>
        </w:rPr>
        <w:t>- Psyllids are phloem feeders; ensure host plants are healthy and free of pests/diseases.</w:t>
      </w:r>
    </w:p>
    <w:p w14:paraId="00308FF9">
      <w:pPr>
        <w:rPr>
          <w:rFonts w:hint="default"/>
        </w:rPr>
      </w:pPr>
      <w:r>
        <w:rPr>
          <w:rFonts w:hint="default"/>
        </w:rPr>
        <w:t>- Gentle handling is crucial to avoid injuring nymphs during transfer and classification.</w:t>
      </w:r>
    </w:p>
    <w:p w14:paraId="2A36CA11">
      <w:pPr>
        <w:rPr>
          <w:rFonts w:hint="default"/>
        </w:rPr>
      </w:pPr>
      <w:r>
        <w:rPr>
          <w:rFonts w:hint="default"/>
        </w:rPr>
        <w:t>{}</w:t>
      </w:r>
    </w:p>
    <w:p w14:paraId="2645A02A">
      <w:pPr>
        <w:rPr>
          <w:rFonts w:hint="default"/>
        </w:rPr>
      </w:pPr>
      <w:r>
        <w:rPr>
          <w:rFonts w:hint="default"/>
        </w:rPr>
        <w:t>$</w:t>
      </w:r>
    </w:p>
    <w:p w14:paraId="60EBD970">
      <w:pPr>
        <w:rPr>
          <w:rFonts w:hint="default"/>
        </w:rPr>
      </w:pPr>
      <w:r>
        <w:rPr>
          <w:rFonts w:hint="default"/>
        </w:rPr>
        <w:t>Sub-protocol 2: Synthesis and Quality Control of Target-Specific dsRNA</w:t>
      </w:r>
    </w:p>
    <w:p w14:paraId="43E55102">
      <w:pPr>
        <w:rPr>
          <w:rFonts w:hint="default"/>
        </w:rPr>
      </w:pPr>
      <w:r>
        <w:rPr>
          <w:rFonts w:hint="default"/>
        </w:rPr>
        <w:t>[PROTOCOL_STAGE=REAGENT_PREPARATION]</w:t>
      </w:r>
    </w:p>
    <w:p w14:paraId="4B331672">
      <w:pPr>
        <w:rPr>
          <w:rFonts w:hint="default"/>
        </w:rPr>
      </w:pPr>
      <w:r>
        <w:rPr>
          <w:rFonts w:hint="default"/>
        </w:rPr>
        <w:t>$</w:t>
      </w:r>
    </w:p>
    <w:p w14:paraId="00A2DD46">
      <w:pPr>
        <w:rPr>
          <w:rFonts w:hint="default"/>
        </w:rPr>
      </w:pPr>
      <w:r>
        <w:rPr>
          <w:rFonts w:hint="default"/>
        </w:rPr>
        <w:t>Applicable_when:</w:t>
      </w:r>
    </w:p>
    <w:p w14:paraId="3ABA15E1">
      <w:pPr>
        <w:rPr>
          <w:rFonts w:hint="default"/>
        </w:rPr>
      </w:pPr>
      <w:r>
        <w:rPr>
          <w:rFonts w:hint="default"/>
        </w:rPr>
        <w:t>- Preparing dsRNA for topical RNAi experiments targeting a specific insect gene.</w:t>
      </w:r>
    </w:p>
    <w:p w14:paraId="70456F43">
      <w:pPr>
        <w:rPr>
          <w:rFonts w:hint="default"/>
        </w:rPr>
      </w:pPr>
      <w:r>
        <w:rPr>
          <w:rFonts w:hint="default"/>
        </w:rPr>
        <w:t>$</w:t>
      </w:r>
    </w:p>
    <w:p w14:paraId="47AE96F9">
      <w:pPr>
        <w:rPr>
          <w:rFonts w:hint="default"/>
        </w:rPr>
      </w:pPr>
      <w:r>
        <w:rPr>
          <w:rFonts w:hint="default"/>
        </w:rPr>
        <w:t>Purpose:</w:t>
      </w:r>
    </w:p>
    <w:p w14:paraId="5FE92027">
      <w:pPr>
        <w:rPr>
          <w:rFonts w:hint="default"/>
        </w:rPr>
      </w:pPr>
      <w:r>
        <w:rPr>
          <w:rFonts w:hint="default"/>
        </w:rPr>
        <w:t>- To generate and validate high-quality, gene-specific dsRNA for application to insects.</w:t>
      </w:r>
    </w:p>
    <w:p w14:paraId="54C9EAC8">
      <w:pPr>
        <w:rPr>
          <w:rFonts w:hint="default"/>
        </w:rPr>
      </w:pPr>
      <w:r>
        <w:rPr>
          <w:rFonts w:hint="default"/>
        </w:rPr>
        <w:t>$</w:t>
      </w:r>
    </w:p>
    <w:p w14:paraId="5EB3A4AF">
      <w:pPr>
        <w:rPr>
          <w:rFonts w:hint="default"/>
        </w:rPr>
      </w:pPr>
      <w:r>
        <w:rPr>
          <w:rFonts w:hint="default"/>
        </w:rPr>
        <w:t>Procedure:</w:t>
      </w:r>
    </w:p>
    <w:p w14:paraId="3C1357C7">
      <w:pPr>
        <w:rPr>
          <w:rFonts w:hint="default"/>
        </w:rPr>
      </w:pPr>
      <w:r>
        <w:rPr>
          <w:rFonts w:hint="default"/>
        </w:rPr>
        <w:t>1. Design primers to amplify a 300-400 bp fragment from the target gene's open reading frame (e.g., 327 bp for DcSuh). Add T7 promoter sequences to the 5' ends of both primers.</w:t>
      </w:r>
    </w:p>
    <w:p w14:paraId="6B81F731">
      <w:pPr>
        <w:rPr>
          <w:rFonts w:hint="default"/>
        </w:rPr>
      </w:pPr>
      <w:r>
        <w:rPr>
          <w:rFonts w:hint="default"/>
        </w:rPr>
        <w:t>2. Use the primers to amplify the DNA fragment from a cDNA template or a synthetic gene fragment (e.g., gBlocks).</w:t>
      </w:r>
    </w:p>
    <w:p w14:paraId="2FD09F08">
      <w:pPr>
        <w:rPr>
          <w:rFonts w:hint="default"/>
        </w:rPr>
      </w:pPr>
      <w:r>
        <w:rPr>
          <w:rFonts w:hint="default"/>
        </w:rPr>
        <w:t>3. Purify the PCR product.</w:t>
      </w:r>
    </w:p>
    <w:p w14:paraId="44B0BDA6">
      <w:pPr>
        <w:rPr>
          <w:rFonts w:hint="default"/>
        </w:rPr>
      </w:pPr>
      <w:r>
        <w:rPr>
          <w:rFonts w:hint="default"/>
        </w:rPr>
        <w:t>4. Use the purified PCR product as a template for in vitro transcription using a commercial dsRNA synthesis kit (e.g., MEGAscript RNAi Kit). Follow the kit protocol to synthesize and anneal complementary RNA strands.</w:t>
      </w:r>
    </w:p>
    <w:p w14:paraId="4E239CD7">
      <w:pPr>
        <w:rPr>
          <w:rFonts w:hint="default"/>
        </w:rPr>
      </w:pPr>
      <w:r>
        <w:rPr>
          <w:rFonts w:hint="default"/>
        </w:rPr>
        <w:t>5. Purify the synthesized dsRNA according to the kit instructions.</w:t>
      </w:r>
    </w:p>
    <w:p w14:paraId="5F5E9414">
      <w:pPr>
        <w:rPr>
          <w:rFonts w:hint="default"/>
        </w:rPr>
      </w:pPr>
      <w:r>
        <w:rPr>
          <w:rFonts w:hint="default"/>
        </w:rPr>
        <w:t>6. Quantify the dsRNA concentration using a spectrophotometer (e.g., NanoDrop) measuring absorbance at 260 nm.</w:t>
      </w:r>
    </w:p>
    <w:p w14:paraId="4F10A44B">
      <w:pPr>
        <w:rPr>
          <w:rFonts w:hint="default"/>
        </w:rPr>
      </w:pPr>
      <w:r>
        <w:rPr>
          <w:rFonts w:hint="default"/>
        </w:rPr>
        <w:t>7. Check dsRNA integrity by running an aliquot on an agarose gel to confirm a single band of expected size.</w:t>
      </w:r>
    </w:p>
    <w:p w14:paraId="7C74351C">
      <w:pPr>
        <w:rPr>
          <w:rFonts w:hint="default"/>
        </w:rPr>
      </w:pPr>
      <w:r>
        <w:rPr>
          <w:rFonts w:hint="default"/>
        </w:rPr>
        <w:t>$</w:t>
      </w:r>
    </w:p>
    <w:p w14:paraId="76CB9205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2D6967E0">
      <w:pPr>
        <w:rPr>
          <w:rFonts w:hint="default"/>
        </w:rPr>
      </w:pPr>
      <w:r>
        <w:rPr>
          <w:rFonts w:hint="default"/>
        </w:rPr>
        <w:t>- cDNA or synthetic DNA template.</w:t>
      </w:r>
    </w:p>
    <w:p w14:paraId="184AB1A6">
      <w:pPr>
        <w:rPr>
          <w:rFonts w:hint="default"/>
        </w:rPr>
      </w:pPr>
      <w:r>
        <w:rPr>
          <w:rFonts w:hint="default"/>
        </w:rPr>
        <w:t>- PCR thermal cycler, reagents, and T7-tailed primers.</w:t>
      </w:r>
    </w:p>
    <w:p w14:paraId="44082ED5">
      <w:pPr>
        <w:rPr>
          <w:rFonts w:hint="default"/>
        </w:rPr>
      </w:pPr>
      <w:r>
        <w:rPr>
          <w:rFonts w:hint="default"/>
        </w:rPr>
        <w:t>- Commercial dsRNA synthesis kit (e.g., MEGAscript RNAi Kit).</w:t>
      </w:r>
    </w:p>
    <w:p w14:paraId="6E43C786">
      <w:pPr>
        <w:rPr>
          <w:rFonts w:hint="default"/>
        </w:rPr>
      </w:pPr>
      <w:r>
        <w:rPr>
          <w:rFonts w:hint="default"/>
        </w:rPr>
        <w:t>- Spectrophotometer (NanoDrop).</w:t>
      </w:r>
    </w:p>
    <w:p w14:paraId="342DEA03">
      <w:pPr>
        <w:rPr>
          <w:rFonts w:hint="default"/>
        </w:rPr>
      </w:pPr>
      <w:r>
        <w:rPr>
          <w:rFonts w:hint="default"/>
        </w:rPr>
        <w:t>- Agarose gel electrophoresis equipment.</w:t>
      </w:r>
    </w:p>
    <w:p w14:paraId="632A39AC">
      <w:pPr>
        <w:rPr>
          <w:rFonts w:hint="default"/>
        </w:rPr>
      </w:pPr>
      <w:r>
        <w:rPr>
          <w:rFonts w:hint="default"/>
        </w:rPr>
        <w:t>- RNase-free water and tubes.</w:t>
      </w:r>
    </w:p>
    <w:p w14:paraId="09B5D90C">
      <w:pPr>
        <w:rPr>
          <w:rFonts w:hint="default"/>
        </w:rPr>
      </w:pPr>
      <w:r>
        <w:rPr>
          <w:rFonts w:hint="default"/>
        </w:rPr>
        <w:t>$</w:t>
      </w:r>
    </w:p>
    <w:p w14:paraId="0BDD1894">
      <w:pPr>
        <w:rPr>
          <w:rFonts w:hint="default"/>
        </w:rPr>
      </w:pPr>
      <w:r>
        <w:rPr>
          <w:rFonts w:hint="default"/>
        </w:rPr>
        <w:t>Controls_and_validation:</w:t>
      </w:r>
    </w:p>
    <w:p w14:paraId="568BE2C9">
      <w:pPr>
        <w:rPr>
          <w:rFonts w:hint="default"/>
        </w:rPr>
      </w:pPr>
      <w:r>
        <w:rPr>
          <w:rFonts w:hint="default"/>
        </w:rPr>
        <w:t>- Positive control: Successful PCR amplification and a clear band on the gel.</w:t>
      </w:r>
    </w:p>
    <w:p w14:paraId="34499C73">
      <w:pPr>
        <w:rPr>
          <w:rFonts w:hint="default"/>
        </w:rPr>
      </w:pPr>
      <w:r>
        <w:rPr>
          <w:rFonts w:hint="default"/>
        </w:rPr>
        <w:t>- Negative control: A dsRNA targeting a non-insect gene (e.g., GFP) must be synthesized in parallel for use as a negative control in bioassays.</w:t>
      </w:r>
    </w:p>
    <w:p w14:paraId="0355C9E0">
      <w:pPr>
        <w:rPr>
          <w:rFonts w:hint="default"/>
        </w:rPr>
      </w:pPr>
      <w:r>
        <w:rPr>
          <w:rFonts w:hint="default"/>
        </w:rPr>
        <w:t>- Validation logic: A correct concentration (ng/µL) and a single, intact band on the gel confirm suitable dsRNA quality for experimentation.</w:t>
      </w:r>
    </w:p>
    <w:p w14:paraId="4766ACF5">
      <w:pPr>
        <w:rPr>
          <w:rFonts w:hint="default"/>
        </w:rPr>
      </w:pPr>
      <w:r>
        <w:rPr>
          <w:rFonts w:hint="default"/>
        </w:rPr>
        <w:t>$</w:t>
      </w:r>
    </w:p>
    <w:p w14:paraId="70570F2B">
      <w:pPr>
        <w:rPr>
          <w:rFonts w:hint="default"/>
        </w:rPr>
      </w:pPr>
      <w:r>
        <w:rPr>
          <w:rFonts w:hint="default"/>
        </w:rPr>
        <w:t>Notes:</w:t>
      </w:r>
    </w:p>
    <w:p w14:paraId="6D34F690">
      <w:pPr>
        <w:rPr>
          <w:rFonts w:hint="default"/>
        </w:rPr>
      </w:pPr>
      <w:r>
        <w:rPr>
          <w:rFonts w:hint="default"/>
        </w:rPr>
        <w:t>- Always include a negative control dsRNA (e.g., GFP) that has no homology to the insect genome.</w:t>
      </w:r>
    </w:p>
    <w:p w14:paraId="2CA2570E">
      <w:pPr>
        <w:rPr>
          <w:rFonts w:hint="default"/>
        </w:rPr>
      </w:pPr>
      <w:r>
        <w:rPr>
          <w:rFonts w:hint="default"/>
        </w:rPr>
        <w:t>- Aliquot and store dsRNA at -80°C to prevent degradation. Avoid repeated freeze-thaw cycles.</w:t>
      </w:r>
    </w:p>
    <w:p w14:paraId="4DE3B514">
      <w:pPr>
        <w:rPr>
          <w:rFonts w:hint="default"/>
        </w:rPr>
      </w:pPr>
      <w:r>
        <w:rPr>
          <w:rFonts w:hint="default"/>
        </w:rPr>
        <w:t>- For DcSuh, a 327 bp fragment was effective.</w:t>
      </w:r>
    </w:p>
    <w:p w14:paraId="3347E780">
      <w:pPr>
        <w:rPr>
          <w:rFonts w:hint="default"/>
        </w:rPr>
      </w:pPr>
      <w:r>
        <w:rPr>
          <w:rFonts w:hint="default"/>
        </w:rPr>
        <w:t>{}</w:t>
      </w:r>
    </w:p>
    <w:p w14:paraId="780F2D95">
      <w:pPr>
        <w:rPr>
          <w:rFonts w:hint="default"/>
        </w:rPr>
      </w:pPr>
      <w:r>
        <w:rPr>
          <w:rFonts w:hint="default"/>
        </w:rPr>
        <w:t>$</w:t>
      </w:r>
    </w:p>
    <w:p w14:paraId="0DFE8F42">
      <w:pPr>
        <w:rPr>
          <w:rFonts w:hint="default"/>
        </w:rPr>
      </w:pPr>
      <w:r>
        <w:rPr>
          <w:rFonts w:hint="default"/>
        </w:rPr>
        <w:t>Sub-protocol 3: Topical Application of dsRNA to D. citri</w:t>
      </w:r>
    </w:p>
    <w:p w14:paraId="297C2A10">
      <w:pPr>
        <w:rPr>
          <w:rFonts w:hint="default"/>
        </w:rPr>
      </w:pPr>
      <w:r>
        <w:rPr>
          <w:rFonts w:hint="default"/>
        </w:rPr>
        <w:t>[PROTOCOL_STAGE=TREATMENT_DELIVERY]</w:t>
      </w:r>
    </w:p>
    <w:p w14:paraId="238DE707">
      <w:pPr>
        <w:rPr>
          <w:rFonts w:hint="default"/>
        </w:rPr>
      </w:pPr>
      <w:r>
        <w:rPr>
          <w:rFonts w:hint="default"/>
        </w:rPr>
        <w:t>$</w:t>
      </w:r>
    </w:p>
    <w:p w14:paraId="5D2C89AB">
      <w:pPr>
        <w:rPr>
          <w:rFonts w:hint="default"/>
        </w:rPr>
      </w:pPr>
      <w:r>
        <w:rPr>
          <w:rFonts w:hint="default"/>
        </w:rPr>
        <w:t>Applicable_when:</w:t>
      </w:r>
    </w:p>
    <w:p w14:paraId="1D8BB763">
      <w:pPr>
        <w:rPr>
          <w:rFonts w:hint="default"/>
        </w:rPr>
      </w:pPr>
      <w:r>
        <w:rPr>
          <w:rFonts w:hint="default"/>
        </w:rPr>
        <w:t>- Delivering dsRNA to D. citri nymphs or adults via a non-injective, feeding-based method.</w:t>
      </w:r>
    </w:p>
    <w:p w14:paraId="477F78B2">
      <w:pPr>
        <w:rPr>
          <w:rFonts w:hint="default"/>
        </w:rPr>
      </w:pPr>
      <w:r>
        <w:rPr>
          <w:rFonts w:hint="default"/>
        </w:rPr>
        <w:t>- Conducting dose-response experiments.</w:t>
      </w:r>
    </w:p>
    <w:p w14:paraId="72EE0BD9">
      <w:pPr>
        <w:rPr>
          <w:rFonts w:hint="default"/>
        </w:rPr>
      </w:pPr>
      <w:r>
        <w:rPr>
          <w:rFonts w:hint="default"/>
        </w:rPr>
        <w:t>$</w:t>
      </w:r>
    </w:p>
    <w:p w14:paraId="585266C7">
      <w:pPr>
        <w:rPr>
          <w:rFonts w:hint="default"/>
        </w:rPr>
      </w:pPr>
      <w:r>
        <w:rPr>
          <w:rFonts w:hint="default"/>
        </w:rPr>
        <w:t>Purpose:</w:t>
      </w:r>
    </w:p>
    <w:p w14:paraId="3B2976AD">
      <w:pPr>
        <w:rPr>
          <w:rFonts w:hint="default"/>
        </w:rPr>
      </w:pPr>
      <w:r>
        <w:rPr>
          <w:rFonts w:hint="default"/>
        </w:rPr>
        <w:t>- To apply a precise droplet of dsRNA solution to the insect's ventral thorax, allowing ingestion and uptake to induce RNA interference.</w:t>
      </w:r>
    </w:p>
    <w:p w14:paraId="562B8D33">
      <w:pPr>
        <w:rPr>
          <w:rFonts w:hint="default"/>
        </w:rPr>
      </w:pPr>
      <w:r>
        <w:rPr>
          <w:rFonts w:hint="default"/>
        </w:rPr>
        <w:t>$</w:t>
      </w:r>
    </w:p>
    <w:p w14:paraId="4B1577AA">
      <w:pPr>
        <w:rPr>
          <w:rFonts w:hint="default"/>
        </w:rPr>
      </w:pPr>
      <w:r>
        <w:rPr>
          <w:rFonts w:hint="default"/>
        </w:rPr>
        <w:t>Procedure:</w:t>
      </w:r>
    </w:p>
    <w:p w14:paraId="4308E90C">
      <w:pPr>
        <w:rPr>
          <w:rFonts w:hint="default"/>
        </w:rPr>
      </w:pPr>
      <w:r>
        <w:rPr>
          <w:rFonts w:hint="default"/>
        </w:rPr>
        <w:t>1. Prepare working dilutions of dsRNA in RNase-free water. For a dose-response, prepare a range of concentrations (e.g., 25, 50, 75, 100, 200, 500, 1000 ng/µL). For the effective concentration, use 500 ng/µL.</w:t>
      </w:r>
    </w:p>
    <w:p w14:paraId="67275FBB">
      <w:pPr>
        <w:rPr>
          <w:rFonts w:hint="default"/>
        </w:rPr>
      </w:pPr>
      <w:r>
        <w:rPr>
          <w:rFonts w:hint="default"/>
        </w:rPr>
        <w:t>2. Prepare negative controls: RNase-free water alone and dsRNA-GFP at the same concentration as the target dsRNA.</w:t>
      </w:r>
    </w:p>
    <w:p w14:paraId="01AC8BD9">
      <w:pPr>
        <w:rPr>
          <w:rFonts w:hint="default"/>
        </w:rPr>
      </w:pPr>
      <w:r>
        <w:rPr>
          <w:rFonts w:hint="default"/>
        </w:rPr>
        <w:t>3. Load a 10 µL Hamilton syringe with the dsRNA solution. Attach the syringe to a micro-applicator.</w:t>
      </w:r>
    </w:p>
    <w:p w14:paraId="4D90A54C">
      <w:pPr>
        <w:rPr>
          <w:rFonts w:hint="default"/>
        </w:rPr>
      </w:pPr>
      <w:r>
        <w:rPr>
          <w:rFonts w:hint="default"/>
        </w:rPr>
        <w:t>4. For each insect (nymph or adult), apply a 0.2 µL droplet topically to the ventral side of the thorax, between the three pairs of legs.</w:t>
      </w:r>
    </w:p>
    <w:p w14:paraId="58A5AF9F">
      <w:pPr>
        <w:rPr>
          <w:rFonts w:hint="default"/>
        </w:rPr>
      </w:pPr>
      <w:r>
        <w:rPr>
          <w:rFonts w:hint="default"/>
        </w:rPr>
        <w:t>5. Allow the insect to feed from the droplet for 10 minutes.</w:t>
      </w:r>
    </w:p>
    <w:p w14:paraId="2D6A0D60">
      <w:pPr>
        <w:rPr>
          <w:rFonts w:hint="default"/>
        </w:rPr>
      </w:pPr>
      <w:r>
        <w:rPr>
          <w:rFonts w:hint="default"/>
        </w:rPr>
        <w:t>6. After feeding, gently transfer the treated insects onto clean Citrus macrophylla plants.</w:t>
      </w:r>
    </w:p>
    <w:p w14:paraId="13548452">
      <w:pPr>
        <w:rPr>
          <w:rFonts w:hint="default"/>
        </w:rPr>
      </w:pPr>
      <w:r>
        <w:rPr>
          <w:rFonts w:hint="default"/>
        </w:rPr>
        <w:t>7. Place the plants with insects inside a ventilated, clear plastic cylindrical container for housing post-treatment.</w:t>
      </w:r>
    </w:p>
    <w:p w14:paraId="52DF1577">
      <w:pPr>
        <w:rPr>
          <w:rFonts w:hint="default"/>
        </w:rPr>
      </w:pPr>
      <w:r>
        <w:rPr>
          <w:rFonts w:hint="default"/>
        </w:rPr>
        <w:t>$</w:t>
      </w:r>
    </w:p>
    <w:p w14:paraId="4A6B9502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0D93E49D">
      <w:pPr>
        <w:rPr>
          <w:rFonts w:hint="default"/>
        </w:rPr>
      </w:pPr>
      <w:r>
        <w:rPr>
          <w:rFonts w:hint="default"/>
        </w:rPr>
        <w:t>- dsRNA solutions at various concentrations.</w:t>
      </w:r>
    </w:p>
    <w:p w14:paraId="6A206607">
      <w:pPr>
        <w:rPr>
          <w:rFonts w:hint="default"/>
        </w:rPr>
      </w:pPr>
      <w:r>
        <w:rPr>
          <w:rFonts w:hint="default"/>
        </w:rPr>
        <w:t>- RNase-free water.</w:t>
      </w:r>
    </w:p>
    <w:p w14:paraId="0E61D989">
      <w:pPr>
        <w:rPr>
          <w:rFonts w:hint="default"/>
        </w:rPr>
      </w:pPr>
      <w:r>
        <w:rPr>
          <w:rFonts w:hint="default"/>
        </w:rPr>
        <w:t>- 10 µL Hamilton syringe.</w:t>
      </w:r>
    </w:p>
    <w:p w14:paraId="7B8E5842">
      <w:pPr>
        <w:rPr>
          <w:rFonts w:hint="default"/>
        </w:rPr>
      </w:pPr>
      <w:r>
        <w:rPr>
          <w:rFonts w:hint="default"/>
        </w:rPr>
        <w:t>- Micro-applicator.</w:t>
      </w:r>
    </w:p>
    <w:p w14:paraId="0F3EA64C">
      <w:pPr>
        <w:rPr>
          <w:rFonts w:hint="default"/>
        </w:rPr>
      </w:pPr>
      <w:r>
        <w:rPr>
          <w:rFonts w:hint="default"/>
        </w:rPr>
        <w:t>- Stereomicroscope for precise application.</w:t>
      </w:r>
    </w:p>
    <w:p w14:paraId="08367D2B">
      <w:pPr>
        <w:rPr>
          <w:rFonts w:hint="default"/>
        </w:rPr>
      </w:pPr>
      <w:r>
        <w:rPr>
          <w:rFonts w:hint="default"/>
        </w:rPr>
        <w:t>- Fine brushes or aspirators for insect handling.</w:t>
      </w:r>
    </w:p>
    <w:p w14:paraId="52E85353">
      <w:pPr>
        <w:rPr>
          <w:rFonts w:hint="default"/>
        </w:rPr>
      </w:pPr>
      <w:r>
        <w:rPr>
          <w:rFonts w:hint="default"/>
        </w:rPr>
        <w:t>- Citrus macrophylla plants.</w:t>
      </w:r>
    </w:p>
    <w:p w14:paraId="08B793BD">
      <w:pPr>
        <w:rPr>
          <w:rFonts w:hint="default"/>
        </w:rPr>
      </w:pPr>
      <w:r>
        <w:rPr>
          <w:rFonts w:hint="default"/>
        </w:rPr>
        <w:t>- Ventilated plastic containers for housing.</w:t>
      </w:r>
    </w:p>
    <w:p w14:paraId="2430205F">
      <w:pPr>
        <w:rPr>
          <w:rFonts w:hint="default"/>
        </w:rPr>
      </w:pPr>
      <w:r>
        <w:rPr>
          <w:rFonts w:hint="default"/>
        </w:rPr>
        <w:t>$</w:t>
      </w:r>
    </w:p>
    <w:p w14:paraId="0F8C4555">
      <w:pPr>
        <w:rPr>
          <w:rFonts w:hint="default"/>
        </w:rPr>
      </w:pPr>
      <w:r>
        <w:rPr>
          <w:rFonts w:hint="default"/>
        </w:rPr>
        <w:t>Controls_and_validation:</w:t>
      </w:r>
    </w:p>
    <w:p w14:paraId="4BEA9A38">
      <w:pPr>
        <w:rPr>
          <w:rFonts w:hint="default"/>
        </w:rPr>
      </w:pPr>
      <w:r>
        <w:rPr>
          <w:rFonts w:hint="default"/>
        </w:rPr>
        <w:t>- Positive control: A dsRNA known to cause a phenotype (optional, for method validation).</w:t>
      </w:r>
    </w:p>
    <w:p w14:paraId="0721F8B0">
      <w:pPr>
        <w:rPr>
          <w:rFonts w:hint="default"/>
        </w:rPr>
      </w:pPr>
      <w:r>
        <w:rPr>
          <w:rFonts w:hint="default"/>
        </w:rPr>
        <w:t>- Negative controls: Insects treated with RNase-free water and with non-target dsRNA (dsRNA-GFP).</w:t>
      </w:r>
    </w:p>
    <w:p w14:paraId="70571A5E">
      <w:pPr>
        <w:rPr>
          <w:rFonts w:hint="default"/>
        </w:rPr>
      </w:pPr>
      <w:r>
        <w:rPr>
          <w:rFonts w:hint="default"/>
        </w:rPr>
        <w:t>- Validation logic: A dose-dependent increase in mortality or gene knockdown in target-dsRNA treated insects compared to both negative controls confirms successful delivery and sequence-specific activity.</w:t>
      </w:r>
    </w:p>
    <w:p w14:paraId="61894557">
      <w:pPr>
        <w:rPr>
          <w:rFonts w:hint="default"/>
        </w:rPr>
      </w:pPr>
      <w:r>
        <w:rPr>
          <w:rFonts w:hint="default"/>
        </w:rPr>
        <w:t>$</w:t>
      </w:r>
    </w:p>
    <w:p w14:paraId="05C9BF66">
      <w:pPr>
        <w:rPr>
          <w:rFonts w:hint="default"/>
        </w:rPr>
      </w:pPr>
      <w:r>
        <w:rPr>
          <w:rFonts w:hint="default"/>
        </w:rPr>
        <w:t>Notes:</w:t>
      </w:r>
    </w:p>
    <w:p w14:paraId="06FADF65">
      <w:pPr>
        <w:rPr>
          <w:rFonts w:hint="default"/>
        </w:rPr>
      </w:pPr>
      <w:r>
        <w:rPr>
          <w:rFonts w:hint="default"/>
        </w:rPr>
        <w:t>- The application volume (0.2 µL) and feeding time (10 min) are critical standardized parameters.</w:t>
      </w:r>
    </w:p>
    <w:p w14:paraId="4A44237A">
      <w:pPr>
        <w:rPr>
          <w:rFonts w:hint="default"/>
        </w:rPr>
      </w:pPr>
      <w:r>
        <w:rPr>
          <w:rFonts w:hint="default"/>
        </w:rPr>
        <w:t>- Work under a stereomicroscope for accuracy, especially with small nymphs.</w:t>
      </w:r>
    </w:p>
    <w:p w14:paraId="14AF88DE">
      <w:pPr>
        <w:rPr>
          <w:rFonts w:hint="default"/>
        </w:rPr>
      </w:pPr>
      <w:r>
        <w:rPr>
          <w:rFonts w:hint="default"/>
        </w:rPr>
        <w:t>- This method relies on the insect actively ingesting the droplet.</w:t>
      </w:r>
    </w:p>
    <w:p w14:paraId="3272C0C9">
      <w:pPr>
        <w:rPr>
          <w:rFonts w:hint="default"/>
        </w:rPr>
      </w:pPr>
      <w:r>
        <w:rPr>
          <w:rFonts w:hint="default"/>
        </w:rPr>
        <w:t>{}</w:t>
      </w:r>
    </w:p>
    <w:p w14:paraId="3922ABA6">
      <w:pPr>
        <w:rPr>
          <w:rFonts w:hint="default"/>
        </w:rPr>
      </w:pPr>
      <w:r>
        <w:rPr>
          <w:rFonts w:hint="default"/>
        </w:rPr>
        <w:t>$</w:t>
      </w:r>
    </w:p>
    <w:p w14:paraId="69062552">
      <w:pPr>
        <w:rPr>
          <w:rFonts w:hint="default"/>
        </w:rPr>
      </w:pPr>
      <w:r>
        <w:rPr>
          <w:rFonts w:hint="default"/>
        </w:rPr>
        <w:t>Sub-protocol 4: Gene Expression Analysis by qRT-PCR</w:t>
      </w:r>
    </w:p>
    <w:p w14:paraId="03002ED8">
      <w:pPr>
        <w:rPr>
          <w:rFonts w:hint="default"/>
        </w:rPr>
      </w:pPr>
      <w:r>
        <w:rPr>
          <w:rFonts w:hint="default"/>
        </w:rPr>
        <w:t>[PROTOCOL_STAGE=PROCESSING_ANALYSIS]</w:t>
      </w:r>
    </w:p>
    <w:p w14:paraId="6175D1A8">
      <w:pPr>
        <w:rPr>
          <w:rFonts w:hint="default"/>
        </w:rPr>
      </w:pPr>
      <w:r>
        <w:rPr>
          <w:rFonts w:hint="default"/>
        </w:rPr>
        <w:t>$</w:t>
      </w:r>
    </w:p>
    <w:p w14:paraId="328935CF">
      <w:pPr>
        <w:rPr>
          <w:rFonts w:hint="default"/>
        </w:rPr>
      </w:pPr>
      <w:r>
        <w:rPr>
          <w:rFonts w:hint="default"/>
        </w:rPr>
        <w:t>Applicable_when:</w:t>
      </w:r>
    </w:p>
    <w:p w14:paraId="79D469FB">
      <w:pPr>
        <w:rPr>
          <w:rFonts w:hint="default"/>
        </w:rPr>
      </w:pPr>
      <w:r>
        <w:rPr>
          <w:rFonts w:hint="default"/>
        </w:rPr>
        <w:t>- Quantifying the knockdown efficiency of the target gene following dsRNA treatment.</w:t>
      </w:r>
    </w:p>
    <w:p w14:paraId="2B2FF2DE">
      <w:pPr>
        <w:rPr>
          <w:rFonts w:hint="default"/>
        </w:rPr>
      </w:pPr>
      <w:r>
        <w:rPr>
          <w:rFonts w:hint="default"/>
        </w:rPr>
        <w:t>- Profiling the endogenous expression pattern of the target gene across different life stages.</w:t>
      </w:r>
    </w:p>
    <w:p w14:paraId="2083702F">
      <w:pPr>
        <w:rPr>
          <w:rFonts w:hint="default"/>
        </w:rPr>
      </w:pPr>
      <w:r>
        <w:rPr>
          <w:rFonts w:hint="default"/>
        </w:rPr>
        <w:t>$</w:t>
      </w:r>
    </w:p>
    <w:p w14:paraId="4789EB6C">
      <w:pPr>
        <w:rPr>
          <w:rFonts w:hint="default"/>
        </w:rPr>
      </w:pPr>
      <w:r>
        <w:rPr>
          <w:rFonts w:hint="default"/>
        </w:rPr>
        <w:t>Purpose:</w:t>
      </w:r>
    </w:p>
    <w:p w14:paraId="37CF544E">
      <w:pPr>
        <w:rPr>
          <w:rFonts w:hint="default"/>
        </w:rPr>
      </w:pPr>
      <w:r>
        <w:rPr>
          <w:rFonts w:hint="default"/>
        </w:rPr>
        <w:t>- To measure the relative mRNA levels of the target gene (DcSuh) in treated vs. control insects and across developmental stages.</w:t>
      </w:r>
    </w:p>
    <w:p w14:paraId="67543858">
      <w:pPr>
        <w:rPr>
          <w:rFonts w:hint="default"/>
        </w:rPr>
      </w:pPr>
      <w:r>
        <w:rPr>
          <w:rFonts w:hint="default"/>
        </w:rPr>
        <w:t>$</w:t>
      </w:r>
    </w:p>
    <w:p w14:paraId="2E942185">
      <w:pPr>
        <w:rPr>
          <w:rFonts w:hint="default"/>
        </w:rPr>
      </w:pPr>
      <w:r>
        <w:rPr>
          <w:rFonts w:hint="default"/>
        </w:rPr>
        <w:t>Procedure:</w:t>
      </w:r>
    </w:p>
    <w:p w14:paraId="51F6C18A">
      <w:pPr>
        <w:rPr>
          <w:rFonts w:hint="default"/>
        </w:rPr>
      </w:pPr>
      <w:r>
        <w:rPr>
          <w:rFonts w:hint="default"/>
        </w:rPr>
        <w:t>1. Sample Collection: Collect insects from the desired life stages (eggs, nymphs I-V, teneral adults, mature adults) or from treatment groups at specified times post-treatment (e.g., 24h).</w:t>
      </w:r>
    </w:p>
    <w:p w14:paraId="3FF6FBC7">
      <w:pPr>
        <w:rPr>
          <w:rFonts w:hint="default"/>
        </w:rPr>
      </w:pPr>
      <w:r>
        <w:rPr>
          <w:rFonts w:hint="default"/>
        </w:rPr>
        <w:t>2. RNA Extraction: Extract total RNA from pooled or individual insects using a commercial kit (e.g., Direct-zol RNA MiniPrep). For early instars (I-III), pool up to 100 insects; for later stages, use 5-30 insects.</w:t>
      </w:r>
    </w:p>
    <w:p w14:paraId="050C1500">
      <w:pPr>
        <w:rPr>
          <w:rFonts w:hint="default"/>
        </w:rPr>
      </w:pPr>
      <w:r>
        <w:rPr>
          <w:rFonts w:hint="default"/>
        </w:rPr>
        <w:t>3. Quantify RNA concentration and purity using a spectrophotometer.</w:t>
      </w:r>
    </w:p>
    <w:p w14:paraId="4F59108F">
      <w:pPr>
        <w:rPr>
          <w:rFonts w:hint="default"/>
        </w:rPr>
      </w:pPr>
      <w:r>
        <w:rPr>
          <w:rFonts w:hint="default"/>
        </w:rPr>
        <w:t>4. Synthesize cDNA from equal amounts of RNA.</w:t>
      </w:r>
    </w:p>
    <w:p w14:paraId="68F39F14">
      <w:pPr>
        <w:rPr>
          <w:rFonts w:hint="default"/>
        </w:rPr>
      </w:pPr>
      <w:r>
        <w:rPr>
          <w:rFonts w:hint="default"/>
        </w:rPr>
        <w:t>5. Perform quantitative real-time PCR (qRT-PCR) using gene-specific primers for the target (DcSuh) and for internal reference genes (Actin and α-tubulin). Use a SYBR Green-based master mix.</w:t>
      </w:r>
    </w:p>
    <w:p w14:paraId="434D516D">
      <w:pPr>
        <w:rPr>
          <w:rFonts w:hint="default"/>
        </w:rPr>
      </w:pPr>
      <w:r>
        <w:rPr>
          <w:rFonts w:hint="default"/>
        </w:rPr>
        <w:t>6. Run all reactions in triplicate on a real-time PCR system.</w:t>
      </w:r>
    </w:p>
    <w:p w14:paraId="0808AD17">
      <w:pPr>
        <w:rPr>
          <w:rFonts w:hint="default"/>
        </w:rPr>
      </w:pPr>
      <w:r>
        <w:rPr>
          <w:rFonts w:hint="default"/>
        </w:rPr>
        <w:t>7. Analyze data using the comparative 2-ΔΔCT method to calculate relative gene expression. Normalize target gene expression to the reference genes.</w:t>
      </w:r>
    </w:p>
    <w:p w14:paraId="130A8CAC">
      <w:pPr>
        <w:rPr>
          <w:rFonts w:hint="default"/>
        </w:rPr>
      </w:pPr>
      <w:r>
        <w:rPr>
          <w:rFonts w:hint="default"/>
        </w:rPr>
        <w:t>8. For developmental profiling, compare expression across stages. For knockdown analysis, compare expression in dsRNA-DcSuh treated insects to the average of the control treatments (water and dsRNA-GFP).</w:t>
      </w:r>
    </w:p>
    <w:p w14:paraId="35CF8E79">
      <w:pPr>
        <w:rPr>
          <w:rFonts w:hint="default"/>
        </w:rPr>
      </w:pPr>
      <w:r>
        <w:rPr>
          <w:rFonts w:hint="default"/>
        </w:rPr>
        <w:t>$</w:t>
      </w:r>
    </w:p>
    <w:p w14:paraId="03BD78CE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620DC18E">
      <w:pPr>
        <w:rPr>
          <w:rFonts w:hint="default"/>
        </w:rPr>
      </w:pPr>
      <w:r>
        <w:rPr>
          <w:rFonts w:hint="default"/>
        </w:rPr>
        <w:t>- RNA extraction kit.</w:t>
      </w:r>
    </w:p>
    <w:p w14:paraId="204B1444">
      <w:pPr>
        <w:rPr>
          <w:rFonts w:hint="default"/>
        </w:rPr>
      </w:pPr>
      <w:r>
        <w:rPr>
          <w:rFonts w:hint="default"/>
        </w:rPr>
        <w:t>- Spectrophotometer.</w:t>
      </w:r>
    </w:p>
    <w:p w14:paraId="54F1F859">
      <w:pPr>
        <w:rPr>
          <w:rFonts w:hint="default"/>
        </w:rPr>
      </w:pPr>
      <w:r>
        <w:rPr>
          <w:rFonts w:hint="default"/>
        </w:rPr>
        <w:t>- cDNA synthesis kit.</w:t>
      </w:r>
    </w:p>
    <w:p w14:paraId="49873778">
      <w:pPr>
        <w:rPr>
          <w:rFonts w:hint="default"/>
        </w:rPr>
      </w:pPr>
      <w:r>
        <w:rPr>
          <w:rFonts w:hint="default"/>
        </w:rPr>
        <w:t>- Real-time PCR instrument and reagents (iQ SYBR Green Supermix).</w:t>
      </w:r>
    </w:p>
    <w:p w14:paraId="05F8298E">
      <w:pPr>
        <w:rPr>
          <w:rFonts w:hint="default"/>
        </w:rPr>
      </w:pPr>
      <w:r>
        <w:rPr>
          <w:rFonts w:hint="default"/>
        </w:rPr>
        <w:t>- Gene-specific qPCR primers (see article table for sequences).</w:t>
      </w:r>
    </w:p>
    <w:p w14:paraId="3FC59CDD">
      <w:pPr>
        <w:rPr>
          <w:rFonts w:hint="default"/>
        </w:rPr>
      </w:pPr>
      <w:r>
        <w:rPr>
          <w:rFonts w:hint="default"/>
        </w:rPr>
        <w:t>- Thermal cycler.</w:t>
      </w:r>
    </w:p>
    <w:p w14:paraId="5749CB0E">
      <w:pPr>
        <w:rPr>
          <w:rFonts w:hint="default"/>
        </w:rPr>
      </w:pPr>
      <w:r>
        <w:rPr>
          <w:rFonts w:hint="default"/>
        </w:rPr>
        <w:t>$</w:t>
      </w:r>
    </w:p>
    <w:p w14:paraId="376A3C5B">
      <w:pPr>
        <w:rPr>
          <w:rFonts w:hint="default"/>
        </w:rPr>
      </w:pPr>
      <w:r>
        <w:rPr>
          <w:rFonts w:hint="default"/>
        </w:rPr>
        <w:t>Controls_and_validation:</w:t>
      </w:r>
    </w:p>
    <w:p w14:paraId="1B2EC851">
      <w:pPr>
        <w:rPr>
          <w:rFonts w:hint="default"/>
        </w:rPr>
      </w:pPr>
      <w:r>
        <w:rPr>
          <w:rFonts w:hint="default"/>
        </w:rPr>
        <w:t>- Positive control for assay: cDNA from untreated insects should amplify target and reference genes.</w:t>
      </w:r>
    </w:p>
    <w:p w14:paraId="4C2E43BC">
      <w:pPr>
        <w:rPr>
          <w:rFonts w:hint="default"/>
        </w:rPr>
      </w:pPr>
      <w:r>
        <w:rPr>
          <w:rFonts w:hint="default"/>
        </w:rPr>
        <w:t>- Negative controls: No-template control in qPCR; RNA sample without reverse transcriptase to check for genomic DNA contamination.</w:t>
      </w:r>
    </w:p>
    <w:p w14:paraId="2809769A">
      <w:pPr>
        <w:rPr>
          <w:rFonts w:hint="default"/>
        </w:rPr>
      </w:pPr>
      <w:r>
        <w:rPr>
          <w:rFonts w:hint="default"/>
        </w:rPr>
        <w:t>- Validation logic: Significant reduction in target gene mRNA levels in dsRNA-DcSuh treated insects compared to both water and dsRNA-GFP controls confirms successful RNAi. Stable expression of reference genes across samples validates normalization.</w:t>
      </w:r>
    </w:p>
    <w:p w14:paraId="5C6AE4CD">
      <w:pPr>
        <w:rPr>
          <w:rFonts w:hint="default"/>
        </w:rPr>
      </w:pPr>
      <w:r>
        <w:rPr>
          <w:rFonts w:hint="default"/>
        </w:rPr>
        <w:t>$</w:t>
      </w:r>
    </w:p>
    <w:p w14:paraId="5844CA6A">
      <w:pPr>
        <w:rPr>
          <w:rFonts w:hint="default"/>
        </w:rPr>
      </w:pPr>
      <w:r>
        <w:rPr>
          <w:rFonts w:hint="default"/>
        </w:rPr>
        <w:t>Notes:</w:t>
      </w:r>
    </w:p>
    <w:p w14:paraId="65290183">
      <w:pPr>
        <w:rPr>
          <w:rFonts w:hint="default"/>
        </w:rPr>
      </w:pPr>
      <w:r>
        <w:rPr>
          <w:rFonts w:hint="default"/>
        </w:rPr>
        <w:t>- Design qPCR primers to amplify a region of the target gene outside the dsRNA fragment if possible, to avoid detecting potential residual dsRNA.</w:t>
      </w:r>
    </w:p>
    <w:p w14:paraId="5328F291">
      <w:pPr>
        <w:rPr>
          <w:rFonts w:hint="default"/>
        </w:rPr>
      </w:pPr>
      <w:r>
        <w:rPr>
          <w:rFonts w:hint="default"/>
        </w:rPr>
        <w:t>- Validate that the reference genes (Actin, α-tubulin) are stably expressed across your experimental conditions.</w:t>
      </w:r>
    </w:p>
    <w:p w14:paraId="39207D02">
      <w:pPr>
        <w:rPr>
          <w:rFonts w:hint="default"/>
        </w:rPr>
      </w:pPr>
      <w:r>
        <w:rPr>
          <w:rFonts w:hint="default"/>
        </w:rPr>
        <w:t>- The highest expression of DcSuh was found in 4th and 5th instar nymphs.</w:t>
      </w:r>
    </w:p>
    <w:p w14:paraId="515A43A9">
      <w:pPr>
        <w:rPr>
          <w:rFonts w:hint="default"/>
        </w:rPr>
      </w:pPr>
      <w:r>
        <w:rPr>
          <w:rFonts w:hint="default"/>
        </w:rPr>
        <w:t>{}</w:t>
      </w:r>
    </w:p>
    <w:p w14:paraId="117E545B">
      <w:pPr>
        <w:rPr>
          <w:rFonts w:hint="default"/>
        </w:rPr>
      </w:pPr>
      <w:r>
        <w:rPr>
          <w:rFonts w:hint="default"/>
        </w:rPr>
        <w:t>$</w:t>
      </w:r>
    </w:p>
    <w:p w14:paraId="323897CB">
      <w:pPr>
        <w:rPr>
          <w:rFonts w:hint="default"/>
        </w:rPr>
      </w:pPr>
      <w:r>
        <w:rPr>
          <w:rFonts w:hint="default"/>
        </w:rPr>
        <w:t>Sub-protocol 5: Measurement of Sucrose Hydrolase Enzyme Activity</w:t>
      </w:r>
    </w:p>
    <w:p w14:paraId="07B01CF1">
      <w:pPr>
        <w:rPr>
          <w:rFonts w:hint="default"/>
        </w:rPr>
      </w:pPr>
      <w:r>
        <w:rPr>
          <w:rFonts w:hint="default"/>
        </w:rPr>
        <w:t>[PROTOCOL_STAGE=PROCESSING_ANALYSIS]</w:t>
      </w:r>
    </w:p>
    <w:p w14:paraId="5AB8CE3F">
      <w:pPr>
        <w:rPr>
          <w:rFonts w:hint="default"/>
        </w:rPr>
      </w:pPr>
      <w:r>
        <w:rPr>
          <w:rFonts w:hint="default"/>
        </w:rPr>
        <w:t>$</w:t>
      </w:r>
    </w:p>
    <w:p w14:paraId="4EDAC2B8">
      <w:pPr>
        <w:rPr>
          <w:rFonts w:hint="default"/>
        </w:rPr>
      </w:pPr>
      <w:r>
        <w:rPr>
          <w:rFonts w:hint="default"/>
        </w:rPr>
        <w:t>Applicable_when:</w:t>
      </w:r>
    </w:p>
    <w:p w14:paraId="1B4C531D">
      <w:pPr>
        <w:rPr>
          <w:rFonts w:hint="default"/>
        </w:rPr>
      </w:pPr>
      <w:r>
        <w:rPr>
          <w:rFonts w:hint="default"/>
        </w:rPr>
        <w:t>- Confirming that RNAi-mediated gene knockdown leads to a functional reduction in the corresponding enzyme's activity.</w:t>
      </w:r>
    </w:p>
    <w:p w14:paraId="388EAF6C">
      <w:pPr>
        <w:rPr>
          <w:rFonts w:hint="default"/>
        </w:rPr>
      </w:pPr>
      <w:r>
        <w:rPr>
          <w:rFonts w:hint="default"/>
        </w:rPr>
        <w:t>$</w:t>
      </w:r>
    </w:p>
    <w:p w14:paraId="1050D714">
      <w:pPr>
        <w:rPr>
          <w:rFonts w:hint="default"/>
        </w:rPr>
      </w:pPr>
      <w:r>
        <w:rPr>
          <w:rFonts w:hint="default"/>
        </w:rPr>
        <w:t>Purpose:</w:t>
      </w:r>
    </w:p>
    <w:p w14:paraId="5E900863">
      <w:pPr>
        <w:rPr>
          <w:rFonts w:hint="default"/>
        </w:rPr>
      </w:pPr>
      <w:r>
        <w:rPr>
          <w:rFonts w:hint="default"/>
        </w:rPr>
        <w:t>- To biochemically validate RNAi by measuring the decrease in sucrose hydrolase (invertase) activity in dsRNA-treated insects compared to controls.</w:t>
      </w:r>
    </w:p>
    <w:p w14:paraId="5E19296E">
      <w:pPr>
        <w:rPr>
          <w:rFonts w:hint="default"/>
        </w:rPr>
      </w:pPr>
      <w:r>
        <w:rPr>
          <w:rFonts w:hint="default"/>
        </w:rPr>
        <w:t>$</w:t>
      </w:r>
    </w:p>
    <w:p w14:paraId="7C5AD1EC">
      <w:pPr>
        <w:rPr>
          <w:rFonts w:hint="default"/>
        </w:rPr>
      </w:pPr>
      <w:bookmarkStart w:id="0" w:name="_GoBack"/>
      <w:r>
        <w:rPr>
          <w:rFonts w:hint="default"/>
        </w:rPr>
        <w:t>Procedure:</w:t>
      </w:r>
    </w:p>
    <w:p w14:paraId="161F3F52">
      <w:pPr>
        <w:rPr>
          <w:rFonts w:hint="default"/>
        </w:rPr>
      </w:pPr>
      <w:r>
        <w:rPr>
          <w:rFonts w:hint="default"/>
        </w:rPr>
        <w:t>1. Treat 4th and 5th instar nymphs with dsRNA-DcSuh (500 ng/µL) or control (dsRNA-GFP) via the topical application method.</w:t>
      </w:r>
    </w:p>
    <w:p w14:paraId="444CBAF0">
      <w:pPr>
        <w:rPr>
          <w:rFonts w:hint="default"/>
        </w:rPr>
      </w:pPr>
      <w:r>
        <w:rPr>
          <w:rFonts w:hint="default"/>
        </w:rPr>
        <w:t>2. 24 hours post-treatment, collect 30 treated nymphs. Also collect 15 adults that emerge from treated nymphs 2-3 days later.</w:t>
      </w:r>
    </w:p>
    <w:p w14:paraId="7052521B">
      <w:pPr>
        <w:rPr>
          <w:rFonts w:hint="default"/>
        </w:rPr>
      </w:pPr>
      <w:r>
        <w:rPr>
          <w:rFonts w:hint="default"/>
        </w:rPr>
        <w:t>3. Remove honeydew from the collected insects.</w:t>
      </w:r>
    </w:p>
    <w:p w14:paraId="6BC5A514">
      <w:pPr>
        <w:rPr>
          <w:rFonts w:hint="default"/>
        </w:rPr>
      </w:pPr>
      <w:r>
        <w:rPr>
          <w:rFonts w:hint="default"/>
        </w:rPr>
        <w:t>4. Prepare insect homogenates: Place samples (10 nymphs or 5 adults per tube) in 1.5 mL tubes with 500 µL of cold Tris buffer (10 mM Tris-HCl, 150 mM NaCl, pH 7.4). Macerate on ice with an electric pestle for 2 minutes.</w:t>
      </w:r>
    </w:p>
    <w:p w14:paraId="01CF1AAA">
      <w:pPr>
        <w:rPr>
          <w:rFonts w:hint="default"/>
        </w:rPr>
      </w:pPr>
      <w:r>
        <w:rPr>
          <w:rFonts w:hint="default"/>
        </w:rPr>
        <w:t>5. Centrifuge the homogenate at 12,000 rpm for 10 minutes at 4°C. Collect the supernatant.</w:t>
      </w:r>
    </w:p>
    <w:p w14:paraId="1E3E5930">
      <w:pPr>
        <w:rPr>
          <w:rFonts w:hint="default"/>
        </w:rPr>
      </w:pPr>
      <w:r>
        <w:rPr>
          <w:rFonts w:hint="default"/>
        </w:rPr>
        <w:t>6. Filter the supernatant using a 50,000 MW cutoff centrifugal filter device to concentrate proteins and remove small molecules like glucose.</w:t>
      </w:r>
    </w:p>
    <w:p w14:paraId="024C6631">
      <w:pPr>
        <w:rPr>
          <w:rFonts w:hint="default"/>
        </w:rPr>
      </w:pPr>
      <w:r>
        <w:rPr>
          <w:rFonts w:hint="default"/>
        </w:rPr>
        <w:t>7. Wash the retentate three times by adding 500 µL Tris buffer and re-centrifuging.</w:t>
      </w:r>
    </w:p>
    <w:p w14:paraId="63FA377B">
      <w:pPr>
        <w:rPr>
          <w:rFonts w:hint="default"/>
        </w:rPr>
      </w:pPr>
      <w:r>
        <w:rPr>
          <w:rFonts w:hint="default"/>
        </w:rPr>
        <w:t>8. Recover the final retentate in 100 µL of Tris buffer.</w:t>
      </w:r>
    </w:p>
    <w:p w14:paraId="3368A71D">
      <w:pPr>
        <w:rPr>
          <w:rFonts w:hint="default"/>
        </w:rPr>
      </w:pPr>
      <w:r>
        <w:rPr>
          <w:rFonts w:hint="default"/>
        </w:rPr>
        <w:t>9. Transfer 40 µL of the retentate to a well of a 96-well plate.</w:t>
      </w:r>
    </w:p>
    <w:p w14:paraId="612777BB">
      <w:pPr>
        <w:rPr>
          <w:rFonts w:hint="default"/>
        </w:rPr>
      </w:pPr>
      <w:r>
        <w:rPr>
          <w:rFonts w:hint="default"/>
        </w:rPr>
        <w:t>10. Quantify sucrose hydrolase activity using a commercial enzyme assay kit (e.g., EnzyChrom Invertase Assay Kit). Follow the manufacturer's protocol precisely, which typically measures the production of glucose/fructose from sucrose.</w:t>
      </w:r>
    </w:p>
    <w:p w14:paraId="726FF5E4">
      <w:pPr>
        <w:rPr>
          <w:rFonts w:hint="default"/>
        </w:rPr>
      </w:pPr>
      <w:r>
        <w:rPr>
          <w:rFonts w:hint="default"/>
        </w:rPr>
        <w:t>11. Measure the absorbance change using a microplate reader. Calculate enzyme activity based on the kit's instructions and standard curve.</w:t>
      </w:r>
    </w:p>
    <w:p w14:paraId="05835D31">
      <w:pPr>
        <w:rPr>
          <w:rFonts w:hint="default"/>
        </w:rPr>
      </w:pPr>
      <w:r>
        <w:rPr>
          <w:rFonts w:hint="default"/>
        </w:rPr>
        <w:t>$</w:t>
      </w:r>
    </w:p>
    <w:bookmarkEnd w:id="0"/>
    <w:p w14:paraId="277B9762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50FC2DB0">
      <w:pPr>
        <w:rPr>
          <w:rFonts w:hint="default"/>
        </w:rPr>
      </w:pPr>
      <w:r>
        <w:rPr>
          <w:rFonts w:hint="default"/>
        </w:rPr>
        <w:t>- Treated and control insects.</w:t>
      </w:r>
    </w:p>
    <w:p w14:paraId="5BEA78B1">
      <w:pPr>
        <w:rPr>
          <w:rFonts w:hint="default"/>
        </w:rPr>
      </w:pPr>
      <w:r>
        <w:rPr>
          <w:rFonts w:hint="default"/>
        </w:rPr>
        <w:t>- Cold Tris buffer.</w:t>
      </w:r>
    </w:p>
    <w:p w14:paraId="49018E63">
      <w:pPr>
        <w:rPr>
          <w:rFonts w:hint="default"/>
        </w:rPr>
      </w:pPr>
      <w:r>
        <w:rPr>
          <w:rFonts w:hint="default"/>
        </w:rPr>
        <w:t>- Electric pestle or tissue homogenizer.</w:t>
      </w:r>
    </w:p>
    <w:p w14:paraId="420B0C92">
      <w:pPr>
        <w:rPr>
          <w:rFonts w:hint="default"/>
        </w:rPr>
      </w:pPr>
      <w:r>
        <w:rPr>
          <w:rFonts w:hint="default"/>
        </w:rPr>
        <w:t>- Refrigerated centrifuge.</w:t>
      </w:r>
    </w:p>
    <w:p w14:paraId="47288F45">
      <w:pPr>
        <w:rPr>
          <w:rFonts w:hint="default"/>
        </w:rPr>
      </w:pPr>
      <w:r>
        <w:rPr>
          <w:rFonts w:hint="default"/>
        </w:rPr>
        <w:t>- 50,000 MW cutoff centrifugal filter devices (e.g., Amicon Ultra).</w:t>
      </w:r>
    </w:p>
    <w:p w14:paraId="4B046680">
      <w:pPr>
        <w:rPr>
          <w:rFonts w:hint="default"/>
        </w:rPr>
      </w:pPr>
      <w:r>
        <w:rPr>
          <w:rFonts w:hint="default"/>
        </w:rPr>
        <w:t>- Commercial sucrose hydrolase/invertase activity assay kit.</w:t>
      </w:r>
    </w:p>
    <w:p w14:paraId="2D46EE69">
      <w:pPr>
        <w:rPr>
          <w:rFonts w:hint="default"/>
        </w:rPr>
      </w:pPr>
      <w:r>
        <w:rPr>
          <w:rFonts w:hint="default"/>
        </w:rPr>
        <w:t>- 96-well plate and microplate reader.</w:t>
      </w:r>
    </w:p>
    <w:p w14:paraId="239F2450">
      <w:pPr>
        <w:rPr>
          <w:rFonts w:hint="default"/>
        </w:rPr>
      </w:pPr>
      <w:r>
        <w:rPr>
          <w:rFonts w:hint="default"/>
        </w:rPr>
        <w:t>$</w:t>
      </w:r>
    </w:p>
    <w:p w14:paraId="2A256FB9">
      <w:pPr>
        <w:rPr>
          <w:rFonts w:hint="default"/>
        </w:rPr>
      </w:pPr>
      <w:r>
        <w:rPr>
          <w:rFonts w:hint="default"/>
        </w:rPr>
        <w:t>Controls_and_validation:</w:t>
      </w:r>
    </w:p>
    <w:p w14:paraId="7C277526">
      <w:pPr>
        <w:rPr>
          <w:rFonts w:hint="default"/>
        </w:rPr>
      </w:pPr>
      <w:r>
        <w:rPr>
          <w:rFonts w:hint="default"/>
        </w:rPr>
        <w:t>- Positive control: Enzyme activity from control (dsRNA-GFP) treated insects.</w:t>
      </w:r>
    </w:p>
    <w:p w14:paraId="181C2368">
      <w:pPr>
        <w:rPr>
          <w:rFonts w:hint="default"/>
        </w:rPr>
      </w:pPr>
      <w:r>
        <w:rPr>
          <w:rFonts w:hint="default"/>
        </w:rPr>
        <w:t>- Negative control: Assay buffer only.</w:t>
      </w:r>
    </w:p>
    <w:p w14:paraId="21DA16EE">
      <w:pPr>
        <w:rPr>
          <w:rFonts w:hint="default"/>
        </w:rPr>
      </w:pPr>
      <w:r>
        <w:rPr>
          <w:rFonts w:hint="default"/>
        </w:rPr>
        <w:t>- Validation logic: A statistically significant reduction in enzyme activity in dsRNA-DcSuh treated samples compared to dsRNA-GFP treated samples confirms the functional consequence of gene knockdown.</w:t>
      </w:r>
    </w:p>
    <w:p w14:paraId="4D500636">
      <w:pPr>
        <w:rPr>
          <w:rFonts w:hint="default"/>
        </w:rPr>
      </w:pPr>
      <w:r>
        <w:rPr>
          <w:rFonts w:hint="default"/>
        </w:rPr>
        <w:t>$</w:t>
      </w:r>
    </w:p>
    <w:p w14:paraId="00AD48B6">
      <w:pPr>
        <w:rPr>
          <w:rFonts w:hint="default"/>
        </w:rPr>
      </w:pPr>
      <w:r>
        <w:rPr>
          <w:rFonts w:hint="default"/>
        </w:rPr>
        <w:t>Notes:</w:t>
      </w:r>
    </w:p>
    <w:p w14:paraId="7E886EE3">
      <w:pPr>
        <w:rPr>
          <w:rFonts w:hint="default"/>
        </w:rPr>
      </w:pPr>
      <w:r>
        <w:rPr>
          <w:rFonts w:hint="default"/>
        </w:rPr>
        <w:t>- Perform the assay with multiple biological replicates (e.g., 3 tubes of 10 nymphs each).</w:t>
      </w:r>
    </w:p>
    <w:p w14:paraId="03218599">
      <w:pPr>
        <w:rPr>
          <w:rFonts w:hint="default"/>
        </w:rPr>
      </w:pPr>
      <w:r>
        <w:rPr>
          <w:rFonts w:hint="default"/>
        </w:rPr>
        <w:t>- The washing steps in the filtration device are crucial to remove endogenous sugars that would interfere with the assay.</w:t>
      </w:r>
    </w:p>
    <w:p w14:paraId="486DF893">
      <w:pPr>
        <w:rPr>
          <w:rFonts w:hint="default"/>
        </w:rPr>
      </w:pPr>
      <w:r>
        <w:rPr>
          <w:rFonts w:hint="default"/>
        </w:rPr>
        <w:t>- Activity was measured in both treated nymphs and in adults that developed from treated nymphs to assess persistent effects.</w:t>
      </w:r>
    </w:p>
    <w:p w14:paraId="4F3878C6">
      <w:pPr>
        <w:rPr>
          <w:rFonts w:hint="default"/>
        </w:rPr>
      </w:pPr>
      <w:r>
        <w:rPr>
          <w:rFonts w:hint="default"/>
        </w:rPr>
        <w:t>{}</w:t>
      </w:r>
    </w:p>
    <w:p w14:paraId="3992E801">
      <w:pPr>
        <w:rPr>
          <w:rFonts w:hint="default"/>
        </w:rPr>
      </w:pPr>
      <w:r>
        <w:rPr>
          <w:rFonts w:hint="default"/>
        </w:rPr>
        <w:t>$</w:t>
      </w:r>
    </w:p>
    <w:p w14:paraId="205070EC">
      <w:pPr>
        <w:rPr>
          <w:rFonts w:hint="default"/>
        </w:rPr>
      </w:pPr>
      <w:r>
        <w:rPr>
          <w:rFonts w:hint="default"/>
        </w:rPr>
        <w:t>Sub-protocol 6: Phenotypic Bioassays: Mortality, Lifespan, and Morphology</w:t>
      </w:r>
    </w:p>
    <w:p w14:paraId="3D98F980">
      <w:pPr>
        <w:rPr>
          <w:rFonts w:hint="default"/>
        </w:rPr>
      </w:pPr>
      <w:r>
        <w:rPr>
          <w:rFonts w:hint="default"/>
        </w:rPr>
        <w:t>[PROTOCOL_STAGE=PHENOTYPING_ASSAY]</w:t>
      </w:r>
    </w:p>
    <w:p w14:paraId="5B314AFF">
      <w:pPr>
        <w:rPr>
          <w:rFonts w:hint="default"/>
        </w:rPr>
      </w:pPr>
      <w:r>
        <w:rPr>
          <w:rFonts w:hint="default"/>
        </w:rPr>
        <w:t>$</w:t>
      </w:r>
    </w:p>
    <w:p w14:paraId="4F7BDB33">
      <w:pPr>
        <w:rPr>
          <w:rFonts w:hint="default"/>
        </w:rPr>
      </w:pPr>
      <w:r>
        <w:rPr>
          <w:rFonts w:hint="default"/>
        </w:rPr>
        <w:t>Applicable_when:</w:t>
      </w:r>
    </w:p>
    <w:p w14:paraId="5D53C9D2">
      <w:pPr>
        <w:rPr>
          <w:rFonts w:hint="default"/>
        </w:rPr>
      </w:pPr>
      <w:r>
        <w:rPr>
          <w:rFonts w:hint="default"/>
        </w:rPr>
        <w:t>- Assessing the biological impact of gene silencing on insect survival, development, and physical appearance.</w:t>
      </w:r>
    </w:p>
    <w:p w14:paraId="14455223">
      <w:pPr>
        <w:rPr>
          <w:rFonts w:hint="default"/>
        </w:rPr>
      </w:pPr>
      <w:r>
        <w:rPr>
          <w:rFonts w:hint="default"/>
        </w:rPr>
        <w:t>$</w:t>
      </w:r>
    </w:p>
    <w:p w14:paraId="1AC24352">
      <w:pPr>
        <w:rPr>
          <w:rFonts w:hint="default"/>
        </w:rPr>
      </w:pPr>
      <w:r>
        <w:rPr>
          <w:rFonts w:hint="default"/>
        </w:rPr>
        <w:t>Purpose:</w:t>
      </w:r>
    </w:p>
    <w:p w14:paraId="3A1EC2D5">
      <w:pPr>
        <w:rPr>
          <w:rFonts w:hint="default"/>
        </w:rPr>
      </w:pPr>
      <w:r>
        <w:rPr>
          <w:rFonts w:hint="default"/>
        </w:rPr>
        <w:t>- To quantify the effects of dsRNA-DcSuh treatment on nymphal mortality, adult lifespan, and the incidence of aberrant morphological phenotypes.</w:t>
      </w:r>
    </w:p>
    <w:p w14:paraId="1A59907A">
      <w:pPr>
        <w:rPr>
          <w:rFonts w:hint="default"/>
        </w:rPr>
      </w:pPr>
      <w:r>
        <w:rPr>
          <w:rFonts w:hint="default"/>
        </w:rPr>
        <w:t>$</w:t>
      </w:r>
    </w:p>
    <w:p w14:paraId="6F30916A">
      <w:pPr>
        <w:rPr>
          <w:rFonts w:hint="default"/>
        </w:rPr>
      </w:pPr>
      <w:r>
        <w:rPr>
          <w:rFonts w:hint="default"/>
        </w:rPr>
        <w:t>Procedure:</w:t>
      </w:r>
    </w:p>
    <w:p w14:paraId="27004B36">
      <w:pPr>
        <w:rPr>
          <w:rFonts w:hint="default"/>
        </w:rPr>
      </w:pPr>
      <w:r>
        <w:rPr>
          <w:rFonts w:hint="default"/>
        </w:rPr>
        <w:t>1. Nymph Mortality Assay:</w:t>
      </w:r>
    </w:p>
    <w:p w14:paraId="01EC64F7">
      <w:pPr>
        <w:rPr>
          <w:rFonts w:hint="default"/>
        </w:rPr>
      </w:pPr>
      <w:r>
        <w:rPr>
          <w:rFonts w:hint="default"/>
        </w:rPr>
        <w:t xml:space="preserve">   a. Treat groups of 20 fourth and fifth instar nymphs (3 replicates per treatment) with various concentrations of dsRNA-DcSuh and controls (water, dsRNA-GFP) using the topical application method.</w:t>
      </w:r>
    </w:p>
    <w:p w14:paraId="0C06AA98">
      <w:pPr>
        <w:rPr>
          <w:rFonts w:hint="default"/>
        </w:rPr>
      </w:pPr>
      <w:r>
        <w:rPr>
          <w:rFonts w:hint="default"/>
        </w:rPr>
        <w:t xml:space="preserve">   b. After treatment, transfer nymphs onto Citrus plants.</w:t>
      </w:r>
    </w:p>
    <w:p w14:paraId="56D40BFD">
      <w:pPr>
        <w:rPr>
          <w:rFonts w:hint="default"/>
        </w:rPr>
      </w:pPr>
      <w:r>
        <w:rPr>
          <w:rFonts w:hint="default"/>
        </w:rPr>
        <w:t xml:space="preserve">   c. Monitor the insects. Calculate mortality percentage on day 7 post-treatment based on the number of adults that successfully emerge. Nymphs that do not emerge as adults are counted as dead.</w:t>
      </w:r>
    </w:p>
    <w:p w14:paraId="092F3444">
      <w:pPr>
        <w:rPr>
          <w:rFonts w:hint="default"/>
        </w:rPr>
      </w:pPr>
      <w:r>
        <w:rPr>
          <w:rFonts w:hint="default"/>
        </w:rPr>
        <w:t>2. Adult Lifespan/Survival Assay:</w:t>
      </w:r>
    </w:p>
    <w:p w14:paraId="244F3C07">
      <w:pPr>
        <w:rPr>
          <w:rFonts w:hint="default"/>
        </w:rPr>
      </w:pPr>
      <w:r>
        <w:rPr>
          <w:rFonts w:hint="default"/>
        </w:rPr>
        <w:t xml:space="preserve">   a. Treat nymphs with dsRNA as above.</w:t>
      </w:r>
    </w:p>
    <w:p w14:paraId="59CDF151">
      <w:pPr>
        <w:rPr>
          <w:rFonts w:hint="default"/>
        </w:rPr>
      </w:pPr>
      <w:r>
        <w:rPr>
          <w:rFonts w:hint="default"/>
        </w:rPr>
        <w:t xml:space="preserve">   b. After adults emerge from these treated nymphs, count and collect them.</w:t>
      </w:r>
    </w:p>
    <w:p w14:paraId="04DD2C16">
      <w:pPr>
        <w:rPr>
          <w:rFonts w:hint="default"/>
        </w:rPr>
      </w:pPr>
      <w:r>
        <w:rPr>
          <w:rFonts w:hint="default"/>
        </w:rPr>
        <w:t xml:space="preserve">   c. Transfer these adults to new plants or containers.</w:t>
      </w:r>
    </w:p>
    <w:p w14:paraId="322FEED4">
      <w:pPr>
        <w:rPr>
          <w:rFonts w:hint="default"/>
        </w:rPr>
      </w:pPr>
      <w:r>
        <w:rPr>
          <w:rFonts w:hint="default"/>
        </w:rPr>
        <w:t xml:space="preserve">   d. Count the number of living adults daily until all have died.</w:t>
      </w:r>
    </w:p>
    <w:p w14:paraId="7BE760E7">
      <w:pPr>
        <w:rPr>
          <w:rFonts w:hint="default"/>
        </w:rPr>
      </w:pPr>
      <w:r>
        <w:rPr>
          <w:rFonts w:hint="default"/>
        </w:rPr>
        <w:t xml:space="preserve">   e. Record the lifespan (days) for each individual or treatment group.</w:t>
      </w:r>
    </w:p>
    <w:p w14:paraId="65EC9A15">
      <w:pPr>
        <w:rPr>
          <w:rFonts w:hint="default"/>
        </w:rPr>
      </w:pPr>
      <w:r>
        <w:rPr>
          <w:rFonts w:hint="default"/>
        </w:rPr>
        <w:t>3. Morphological Observation:</w:t>
      </w:r>
    </w:p>
    <w:p w14:paraId="2D97DC4A">
      <w:pPr>
        <w:rPr>
          <w:rFonts w:hint="default"/>
        </w:rPr>
      </w:pPr>
      <w:r>
        <w:rPr>
          <w:rFonts w:hint="default"/>
        </w:rPr>
        <w:t xml:space="preserve">   a. During daily observations of adults that emerged from treated nymphs, examine each insect carefully.</w:t>
      </w:r>
    </w:p>
    <w:p w14:paraId="43A06BD4">
      <w:pPr>
        <w:rPr>
          <w:rFonts w:hint="default"/>
        </w:rPr>
      </w:pPr>
      <w:r>
        <w:rPr>
          <w:rFonts w:hint="default"/>
        </w:rPr>
        <w:t xml:space="preserve">   b. Record and photograph any adults exhibiting a swollen abdomen phenotype using a digital camera mounted on a stereomicroscope.</w:t>
      </w:r>
    </w:p>
    <w:p w14:paraId="7E4E76F3">
      <w:pPr>
        <w:rPr>
          <w:rFonts w:hint="default"/>
        </w:rPr>
      </w:pPr>
      <w:r>
        <w:rPr>
          <w:rFonts w:hint="default"/>
        </w:rPr>
        <w:t xml:space="preserve">   c. Correlate the incidence of the swollen abdomen phenotype with the dsRNA concentration applied to the nymphs.</w:t>
      </w:r>
    </w:p>
    <w:p w14:paraId="78B5AEA9">
      <w:pPr>
        <w:rPr>
          <w:rFonts w:hint="default"/>
        </w:rPr>
      </w:pPr>
      <w:r>
        <w:rPr>
          <w:rFonts w:hint="default"/>
        </w:rPr>
        <w:t>$</w:t>
      </w:r>
    </w:p>
    <w:p w14:paraId="53E1C1AD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4F68A554">
      <w:pPr>
        <w:rPr>
          <w:rFonts w:hint="default"/>
        </w:rPr>
      </w:pPr>
      <w:r>
        <w:rPr>
          <w:rFonts w:hint="default"/>
        </w:rPr>
        <w:t>- Treated and control insect groups.</w:t>
      </w:r>
    </w:p>
    <w:p w14:paraId="64E36FA5">
      <w:pPr>
        <w:rPr>
          <w:rFonts w:hint="default"/>
        </w:rPr>
      </w:pPr>
      <w:r>
        <w:rPr>
          <w:rFonts w:hint="default"/>
        </w:rPr>
        <w:t>- Citrus macrophylla plants.</w:t>
      </w:r>
    </w:p>
    <w:p w14:paraId="16C446DB">
      <w:pPr>
        <w:rPr>
          <w:rFonts w:hint="default"/>
        </w:rPr>
      </w:pPr>
      <w:r>
        <w:rPr>
          <w:rFonts w:hint="default"/>
        </w:rPr>
        <w:t>- Containers for holding insects.</w:t>
      </w:r>
    </w:p>
    <w:p w14:paraId="3BCE211D">
      <w:pPr>
        <w:rPr>
          <w:rFonts w:hint="default"/>
        </w:rPr>
      </w:pPr>
      <w:r>
        <w:rPr>
          <w:rFonts w:hint="default"/>
        </w:rPr>
        <w:t>- Stereomicroscope with mounted digital camera (e.g., Canon PowerShot on Leica microscope).</w:t>
      </w:r>
    </w:p>
    <w:p w14:paraId="7CF2B5C5">
      <w:pPr>
        <w:rPr>
          <w:rFonts w:hint="default"/>
        </w:rPr>
      </w:pPr>
      <w:r>
        <w:rPr>
          <w:rFonts w:hint="default"/>
        </w:rPr>
        <w:t>- Data recording sheets or system.</w:t>
      </w:r>
    </w:p>
    <w:p w14:paraId="65234A78">
      <w:pPr>
        <w:rPr>
          <w:rFonts w:hint="default"/>
        </w:rPr>
      </w:pPr>
      <w:r>
        <w:rPr>
          <w:rFonts w:hint="default"/>
        </w:rPr>
        <w:t>$</w:t>
      </w:r>
    </w:p>
    <w:p w14:paraId="388EF390">
      <w:pPr>
        <w:rPr>
          <w:rFonts w:hint="default"/>
        </w:rPr>
      </w:pPr>
      <w:r>
        <w:rPr>
          <w:rFonts w:hint="default"/>
        </w:rPr>
        <w:t>Controls_and_validation:</w:t>
      </w:r>
    </w:p>
    <w:p w14:paraId="2CE82362">
      <w:pPr>
        <w:rPr>
          <w:rFonts w:hint="default"/>
        </w:rPr>
      </w:pPr>
      <w:r>
        <w:rPr>
          <w:rFonts w:hint="default"/>
        </w:rPr>
        <w:t>- Positive control: Not applicable for phenotype; the treatment itself is the test.</w:t>
      </w:r>
    </w:p>
    <w:p w14:paraId="1D4B15FB">
      <w:pPr>
        <w:rPr>
          <w:rFonts w:hint="default"/>
        </w:rPr>
      </w:pPr>
      <w:r>
        <w:rPr>
          <w:rFonts w:hint="default"/>
        </w:rPr>
        <w:t>- Negative controls: Nymphs treated with water and dsRNA-GFP.</w:t>
      </w:r>
    </w:p>
    <w:p w14:paraId="58D55EFE">
      <w:pPr>
        <w:rPr>
          <w:rFonts w:hint="default"/>
        </w:rPr>
      </w:pPr>
      <w:r>
        <w:rPr>
          <w:rFonts w:hint="default"/>
        </w:rPr>
        <w:t>- Validation logic: A dose-dependent increase in nymph mortality, a reduction in adult lifespan, and/or an increase in aberrant phenotypes (swollen abdomen) in the dsRNA-DcSuh treatment groups compared to controls confirms a successful phenotypic RNAi effect.</w:t>
      </w:r>
    </w:p>
    <w:p w14:paraId="6F1C6B8F">
      <w:pPr>
        <w:rPr>
          <w:rFonts w:hint="default"/>
        </w:rPr>
      </w:pPr>
      <w:r>
        <w:rPr>
          <w:rFonts w:hint="default"/>
        </w:rPr>
        <w:t>$</w:t>
      </w:r>
    </w:p>
    <w:p w14:paraId="743E2B7D">
      <w:pPr>
        <w:rPr>
          <w:rFonts w:hint="default"/>
        </w:rPr>
      </w:pPr>
      <w:r>
        <w:rPr>
          <w:rFonts w:hint="default"/>
        </w:rPr>
        <w:t>Notes:</w:t>
      </w:r>
    </w:p>
    <w:p w14:paraId="44320714">
      <w:pPr>
        <w:rPr>
          <w:rFonts w:hint="default"/>
        </w:rPr>
      </w:pPr>
      <w:r>
        <w:rPr>
          <w:rFonts w:hint="default"/>
        </w:rPr>
        <w:t>- Mortality for nymphs is assessed indirectly via successful adult emergence.</w:t>
      </w:r>
    </w:p>
    <w:p w14:paraId="7C955F6B">
      <w:pPr>
        <w:rPr>
          <w:rFonts w:hint="default"/>
        </w:rPr>
      </w:pPr>
      <w:r>
        <w:rPr>
          <w:rFonts w:hint="default"/>
        </w:rPr>
        <w:t>- The swollen abdomen phenotype is indicative of osmotic stress due to disrupted sucrose metabolism.</w:t>
      </w:r>
    </w:p>
    <w:p w14:paraId="6EE86640">
      <w:pPr>
        <w:rPr>
          <w:rFonts w:hint="default"/>
        </w:rPr>
      </w:pPr>
      <w:r>
        <w:rPr>
          <w:rFonts w:hint="default"/>
        </w:rPr>
        <w:t>- Use statistical analyses (e.g., Kaplan-Meier for survival, ANOVA for mortality) to compare treatments.</w:t>
      </w:r>
    </w:p>
    <w:p w14:paraId="7B69DE7D">
      <w:pPr>
        <w:rPr>
          <w:rFonts w:hint="default"/>
        </w:rPr>
      </w:pPr>
      <w:r>
        <w:rPr>
          <w:rFonts w:hint="default"/>
        </w:rPr>
        <w:t>{}</w:t>
      </w:r>
    </w:p>
    <w:p w14:paraId="3E9028FD">
      <w:pPr>
        <w:rPr>
          <w:rFonts w:hint="default"/>
        </w:rPr>
      </w:pPr>
      <w:r>
        <w:rPr>
          <w:rFonts w:hint="default"/>
        </w:rPr>
        <w:t>$</w:t>
      </w:r>
    </w:p>
    <w:p w14:paraId="2AC440E9">
      <w:pPr>
        <w:rPr>
          <w:rFonts w:hint="default"/>
        </w:rPr>
      </w:pPr>
      <w:r>
        <w:rPr>
          <w:rFonts w:hint="default"/>
        </w:rPr>
        <w:t>Sub-protocol 7: Metabolomic Profiling by GC-MS</w:t>
      </w:r>
    </w:p>
    <w:p w14:paraId="0E754003">
      <w:pPr>
        <w:rPr>
          <w:rFonts w:hint="default"/>
        </w:rPr>
      </w:pPr>
      <w:r>
        <w:rPr>
          <w:rFonts w:hint="default"/>
        </w:rPr>
        <w:t>[PROTOCOL_STAGE=PROCESSING_ANALYSIS]</w:t>
      </w:r>
    </w:p>
    <w:p w14:paraId="7341E9B6">
      <w:pPr>
        <w:rPr>
          <w:rFonts w:hint="default"/>
        </w:rPr>
      </w:pPr>
      <w:r>
        <w:rPr>
          <w:rFonts w:hint="default"/>
        </w:rPr>
        <w:t>$</w:t>
      </w:r>
    </w:p>
    <w:p w14:paraId="59A4F681">
      <w:pPr>
        <w:rPr>
          <w:rFonts w:hint="default"/>
        </w:rPr>
      </w:pPr>
      <w:r>
        <w:rPr>
          <w:rFonts w:hint="default"/>
        </w:rPr>
        <w:t>Applicable_when:</w:t>
      </w:r>
    </w:p>
    <w:p w14:paraId="0C6AA661">
      <w:pPr>
        <w:rPr>
          <w:rFonts w:hint="default"/>
        </w:rPr>
      </w:pPr>
      <w:r>
        <w:rPr>
          <w:rFonts w:hint="default"/>
        </w:rPr>
        <w:t>- Investigating the broader metabolic consequences of target gene silencing.</w:t>
      </w:r>
    </w:p>
    <w:p w14:paraId="01786B34">
      <w:pPr>
        <w:rPr>
          <w:rFonts w:hint="default"/>
        </w:rPr>
      </w:pPr>
      <w:r>
        <w:rPr>
          <w:rFonts w:hint="default"/>
        </w:rPr>
        <w:t>- Validating the biochemical pathway disruption at the metabolite level.</w:t>
      </w:r>
    </w:p>
    <w:p w14:paraId="17FC433A">
      <w:pPr>
        <w:rPr>
          <w:rFonts w:hint="default"/>
        </w:rPr>
      </w:pPr>
      <w:r>
        <w:rPr>
          <w:rFonts w:hint="default"/>
        </w:rPr>
        <w:t>$</w:t>
      </w:r>
    </w:p>
    <w:p w14:paraId="51CF0139">
      <w:pPr>
        <w:rPr>
          <w:rFonts w:hint="default"/>
        </w:rPr>
      </w:pPr>
      <w:r>
        <w:rPr>
          <w:rFonts w:hint="default"/>
        </w:rPr>
        <w:t>Purpose:</w:t>
      </w:r>
    </w:p>
    <w:p w14:paraId="70C744D1">
      <w:pPr>
        <w:rPr>
          <w:rFonts w:hint="default"/>
        </w:rPr>
      </w:pPr>
      <w:r>
        <w:rPr>
          <w:rFonts w:hint="default"/>
        </w:rPr>
        <w:t>- To identify and quantify changes in primary metabolites (sugars, etc.) in dsRNA-treated insects compared to controls, providing direct evidence for the expected metabolic blockage.</w:t>
      </w:r>
    </w:p>
    <w:p w14:paraId="2C134254">
      <w:pPr>
        <w:rPr>
          <w:rFonts w:hint="default"/>
        </w:rPr>
      </w:pPr>
      <w:r>
        <w:rPr>
          <w:rFonts w:hint="default"/>
        </w:rPr>
        <w:t>$</w:t>
      </w:r>
    </w:p>
    <w:p w14:paraId="050FED7A">
      <w:pPr>
        <w:rPr>
          <w:rFonts w:hint="default"/>
        </w:rPr>
      </w:pPr>
      <w:r>
        <w:rPr>
          <w:rFonts w:hint="default"/>
        </w:rPr>
        <w:t>Procedure:</w:t>
      </w:r>
    </w:p>
    <w:p w14:paraId="79D8E54F">
      <w:pPr>
        <w:rPr>
          <w:rFonts w:hint="default"/>
        </w:rPr>
      </w:pPr>
      <w:r>
        <w:rPr>
          <w:rFonts w:hint="default"/>
        </w:rPr>
        <w:t>1. Treatment and Sample Collection:</w:t>
      </w:r>
    </w:p>
    <w:p w14:paraId="24D4E8AF">
      <w:pPr>
        <w:rPr>
          <w:rFonts w:hint="default"/>
        </w:rPr>
      </w:pPr>
      <w:r>
        <w:rPr>
          <w:rFonts w:hint="default"/>
        </w:rPr>
        <w:t xml:space="preserve">   a. Treat large groups of nymphs (100 per replicate) and adults (50 per replicate) with dsRNA-DcSuh (500 ng/µL), dsRNA-GFP (control), or RNase-free water (control). Use three biological replicates per treatment.</w:t>
      </w:r>
    </w:p>
    <w:p w14:paraId="76C1EA2F">
      <w:pPr>
        <w:rPr>
          <w:rFonts w:hint="default"/>
        </w:rPr>
      </w:pPr>
      <w:r>
        <w:rPr>
          <w:rFonts w:hint="default"/>
        </w:rPr>
        <w:t xml:space="preserve">   b. For nymphs: Collect 2 days post-treatment. Clean nymphs of honeydew before processing.</w:t>
      </w:r>
    </w:p>
    <w:p w14:paraId="4A5A6E5E">
      <w:pPr>
        <w:rPr>
          <w:rFonts w:hint="default"/>
        </w:rPr>
      </w:pPr>
      <w:r>
        <w:rPr>
          <w:rFonts w:hint="default"/>
        </w:rPr>
        <w:t xml:space="preserve">   c. For adults: Collect 4 days post-treatment. Cold-anesthetize adults at -20°C for 20 minutes before processing.</w:t>
      </w:r>
    </w:p>
    <w:p w14:paraId="4FBF67AE">
      <w:pPr>
        <w:rPr>
          <w:rFonts w:hint="default"/>
        </w:rPr>
      </w:pPr>
      <w:r>
        <w:rPr>
          <w:rFonts w:hint="default"/>
        </w:rPr>
        <w:t>2. Metabolite Extraction:</w:t>
      </w:r>
    </w:p>
    <w:p w14:paraId="67856380">
      <w:pPr>
        <w:rPr>
          <w:rFonts w:hint="default"/>
        </w:rPr>
      </w:pPr>
      <w:r>
        <w:rPr>
          <w:rFonts w:hint="default"/>
        </w:rPr>
        <w:t xml:space="preserve">   a. Place samples in 1.5 mL tubes with extraction solvent (methanol:chloroform:water, 8:1:1 ratio). Use 100 µL for nymphs, 200 µL for adults.</w:t>
      </w:r>
    </w:p>
    <w:p w14:paraId="080C4D8A">
      <w:pPr>
        <w:rPr>
          <w:rFonts w:hint="default"/>
        </w:rPr>
      </w:pPr>
      <w:r>
        <w:rPr>
          <w:rFonts w:hint="default"/>
        </w:rPr>
        <w:t xml:space="preserve">   b. Freeze tubes in liquid nitrogen.</w:t>
      </w:r>
    </w:p>
    <w:p w14:paraId="21B98B22">
      <w:pPr>
        <w:rPr>
          <w:rFonts w:hint="default"/>
        </w:rPr>
      </w:pPr>
      <w:r>
        <w:rPr>
          <w:rFonts w:hint="default"/>
        </w:rPr>
        <w:t xml:space="preserve">   c. Homogenize samples using a bead beater (TissueLyser II) for 2 minutes.</w:t>
      </w:r>
    </w:p>
    <w:p w14:paraId="70EEF717">
      <w:pPr>
        <w:rPr>
          <w:rFonts w:hint="default"/>
        </w:rPr>
      </w:pPr>
      <w:r>
        <w:rPr>
          <w:rFonts w:hint="default"/>
        </w:rPr>
        <w:t xml:space="preserve">   d. Rock samples overnight at 4°C on a platform mixer.</w:t>
      </w:r>
    </w:p>
    <w:p w14:paraId="05E85CFA">
      <w:pPr>
        <w:rPr>
          <w:rFonts w:hint="default"/>
        </w:rPr>
      </w:pPr>
      <w:r>
        <w:rPr>
          <w:rFonts w:hint="default"/>
        </w:rPr>
        <w:t xml:space="preserve">   e. Centrifuge at 10,000 rpm for 5 minutes at 5°C to pellet debris.</w:t>
      </w:r>
    </w:p>
    <w:p w14:paraId="7752116A">
      <w:pPr>
        <w:rPr>
          <w:rFonts w:hint="default"/>
        </w:rPr>
      </w:pPr>
      <w:r>
        <w:rPr>
          <w:rFonts w:hint="default"/>
        </w:rPr>
        <w:t xml:space="preserve">   f. Transfer the supernatant (containing metabolites) to a new tube.</w:t>
      </w:r>
    </w:p>
    <w:p w14:paraId="4DFFBD0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59EAFE7E">
      <w:pPr>
        <w:rPr>
          <w:rFonts w:hint="default"/>
        </w:rPr>
      </w:pPr>
      <w:r>
        <w:rPr>
          <w:rFonts w:hint="default"/>
        </w:rPr>
        <w:t>3. Derivatization for GC-MS:</w:t>
      </w:r>
    </w:p>
    <w:p w14:paraId="3E3DB1C0">
      <w:pPr>
        <w:rPr>
          <w:rFonts w:hint="default"/>
        </w:rPr>
      </w:pPr>
      <w:r>
        <w:rPr>
          <w:rFonts w:hint="default"/>
        </w:rPr>
        <w:t xml:space="preserve">   a. Transfer an aliquot (10 µL adult extract or 100 µL nymph extract) to a GC vial insert.</w:t>
      </w:r>
    </w:p>
    <w:p w14:paraId="46929F44">
      <w:pPr>
        <w:rPr>
          <w:rFonts w:hint="default"/>
        </w:rPr>
      </w:pPr>
      <w:r>
        <w:rPr>
          <w:rFonts w:hint="default"/>
        </w:rPr>
        <w:t xml:space="preserve">   b. Add 10 µL of internal standard (ribitol, 1000 ppm).</w:t>
      </w:r>
    </w:p>
    <w:p w14:paraId="1AD2CD2B">
      <w:pPr>
        <w:rPr>
          <w:rFonts w:hint="default"/>
        </w:rPr>
      </w:pPr>
      <w:r>
        <w:rPr>
          <w:rFonts w:hint="default"/>
        </w:rPr>
        <w:t xml:space="preserve">   c. Dry the samples under a gentle stream of nitrogen.</w:t>
      </w:r>
    </w:p>
    <w:p w14:paraId="7D02FC03">
      <w:pPr>
        <w:rPr>
          <w:rFonts w:hint="default"/>
        </w:rPr>
      </w:pPr>
      <w:r>
        <w:rPr>
          <w:rFonts w:hint="default"/>
        </w:rPr>
        <w:t xml:space="preserve">   d. Add 30 µL of methoxyamine hydrochloride (MOX) in pyridine. Incubate at 60°C for 1 hour.</w:t>
      </w:r>
    </w:p>
    <w:p w14:paraId="3C75F951">
      <w:pPr>
        <w:rPr>
          <w:rFonts w:hint="default"/>
        </w:rPr>
      </w:pPr>
      <w:r>
        <w:rPr>
          <w:rFonts w:hint="default"/>
        </w:rPr>
        <w:t xml:space="preserve">   e. Add 80 µL of N-methyl-N-(trimethylsilyl)trifluoroacetamide (MSTFA). Incubate at 60°C for 1 hour.</w:t>
      </w:r>
    </w:p>
    <w:p w14:paraId="3E10FA34">
      <w:pPr>
        <w:rPr>
          <w:rFonts w:hint="default"/>
        </w:rPr>
      </w:pPr>
      <w:r>
        <w:rPr>
          <w:rFonts w:hint="default"/>
        </w:rPr>
        <w:t>4. GC-MS Analysis:</w:t>
      </w:r>
    </w:p>
    <w:p w14:paraId="2BDE77B2">
      <w:pPr>
        <w:rPr>
          <w:rFonts w:hint="default"/>
        </w:rPr>
      </w:pPr>
      <w:r>
        <w:rPr>
          <w:rFonts w:hint="default"/>
        </w:rPr>
        <w:t xml:space="preserve">   a. Inject 0.5 µL of the derivatized sample splitlessly into the GC-MS system.</w:t>
      </w:r>
    </w:p>
    <w:p w14:paraId="7EBCA893">
      <w:pPr>
        <w:rPr>
          <w:rFonts w:hint="default"/>
        </w:rPr>
      </w:pPr>
      <w:r>
        <w:rPr>
          <w:rFonts w:hint="default"/>
        </w:rPr>
        <w:t xml:space="preserve">   b. Use standard GC-MS conditions (as described in referenced methodology).</w:t>
      </w:r>
    </w:p>
    <w:p w14:paraId="0A101C3C">
      <w:pPr>
        <w:rPr>
          <w:rFonts w:hint="default"/>
        </w:rPr>
      </w:pPr>
      <w:r>
        <w:rPr>
          <w:rFonts w:hint="default"/>
        </w:rPr>
        <w:t>5. Data Analysis:</w:t>
      </w:r>
    </w:p>
    <w:p w14:paraId="003C22F9">
      <w:pPr>
        <w:rPr>
          <w:rFonts w:hint="default"/>
        </w:rPr>
      </w:pPr>
      <w:r>
        <w:rPr>
          <w:rFonts w:hint="default"/>
        </w:rPr>
        <w:t xml:space="preserve">   a. Integrate chromatogram peaks using the instrument's software (e.g., Turbomass).</w:t>
      </w:r>
    </w:p>
    <w:p w14:paraId="733E3881">
      <w:pPr>
        <w:rPr>
          <w:rFonts w:hint="default"/>
        </w:rPr>
      </w:pPr>
      <w:r>
        <w:rPr>
          <w:rFonts w:hint="default"/>
        </w:rPr>
        <w:t xml:space="preserve">   b. Identify metabolites by comparing retention times and mass spectra to authentic standards and spectral libraries.</w:t>
      </w:r>
    </w:p>
    <w:p w14:paraId="379A5F11">
      <w:pPr>
        <w:rPr>
          <w:rFonts w:hint="default"/>
        </w:rPr>
      </w:pPr>
      <w:r>
        <w:rPr>
          <w:rFonts w:hint="default"/>
        </w:rPr>
        <w:t xml:space="preserve">   c. Quantify metabolites using calibration curves constructed from derivatized standards.</w:t>
      </w:r>
    </w:p>
    <w:p w14:paraId="7DB8CEB4">
      <w:pPr>
        <w:rPr>
          <w:rFonts w:hint="default"/>
        </w:rPr>
      </w:pPr>
      <w:r>
        <w:rPr>
          <w:rFonts w:hint="default"/>
        </w:rPr>
        <w:t xml:space="preserve">   d. Compare metabolite levels (e.g., sucrose, glucose, fructose, trehalose) between dsRNA-DcSuh treated samples and control samples using statistical tests (e.g., t-test).</w:t>
      </w:r>
    </w:p>
    <w:p w14:paraId="43BB3703">
      <w:pPr>
        <w:rPr>
          <w:rFonts w:hint="default"/>
        </w:rPr>
      </w:pPr>
      <w:r>
        <w:rPr>
          <w:rFonts w:hint="default"/>
        </w:rPr>
        <w:t>$</w:t>
      </w:r>
    </w:p>
    <w:p w14:paraId="0F0D772D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59543911">
      <w:pPr>
        <w:rPr>
          <w:rFonts w:hint="default"/>
        </w:rPr>
      </w:pPr>
      <w:r>
        <w:rPr>
          <w:rFonts w:hint="default"/>
        </w:rPr>
        <w:t>- Treated and control insects.</w:t>
      </w:r>
    </w:p>
    <w:p w14:paraId="35E6B52F">
      <w:pPr>
        <w:rPr>
          <w:rFonts w:hint="default"/>
        </w:rPr>
      </w:pPr>
      <w:r>
        <w:rPr>
          <w:rFonts w:hint="default"/>
        </w:rPr>
        <w:t>- Extraction solvents (methanol, chloroform, water).</w:t>
      </w:r>
    </w:p>
    <w:p w14:paraId="54E96C50">
      <w:pPr>
        <w:rPr>
          <w:rFonts w:hint="default"/>
        </w:rPr>
      </w:pPr>
      <w:r>
        <w:rPr>
          <w:rFonts w:hint="default"/>
        </w:rPr>
        <w:t>- Liquid nitrogen.</w:t>
      </w:r>
    </w:p>
    <w:p w14:paraId="3C945EBB">
      <w:pPr>
        <w:rPr>
          <w:rFonts w:hint="default"/>
        </w:rPr>
      </w:pPr>
      <w:r>
        <w:rPr>
          <w:rFonts w:hint="default"/>
        </w:rPr>
        <w:t>- Bead beater/homogenizer (TissueLyser II).</w:t>
      </w:r>
    </w:p>
    <w:p w14:paraId="5876C765">
      <w:pPr>
        <w:rPr>
          <w:rFonts w:hint="default"/>
        </w:rPr>
      </w:pPr>
      <w:r>
        <w:rPr>
          <w:rFonts w:hint="default"/>
        </w:rPr>
        <w:t>- Refrigerated centrifuge.</w:t>
      </w:r>
    </w:p>
    <w:p w14:paraId="591CACD3">
      <w:pPr>
        <w:rPr>
          <w:rFonts w:hint="default"/>
        </w:rPr>
      </w:pPr>
      <w:r>
        <w:rPr>
          <w:rFonts w:hint="default"/>
        </w:rPr>
        <w:t>- Platform mixer.</w:t>
      </w:r>
    </w:p>
    <w:p w14:paraId="3C74ECA6">
      <w:pPr>
        <w:rPr>
          <w:rFonts w:hint="default"/>
        </w:rPr>
      </w:pPr>
      <w:r>
        <w:rPr>
          <w:rFonts w:hint="default"/>
        </w:rPr>
        <w:t>- GC vials and inserts.</w:t>
      </w:r>
    </w:p>
    <w:p w14:paraId="4F9F9002">
      <w:pPr>
        <w:rPr>
          <w:rFonts w:hint="default"/>
        </w:rPr>
      </w:pPr>
      <w:r>
        <w:rPr>
          <w:rFonts w:hint="default"/>
        </w:rPr>
        <w:t>- Derivatization reagents: MOX, MSTFA.</w:t>
      </w:r>
    </w:p>
    <w:p w14:paraId="4FA80113">
      <w:pPr>
        <w:rPr>
          <w:rFonts w:hint="default"/>
        </w:rPr>
      </w:pPr>
      <w:r>
        <w:rPr>
          <w:rFonts w:hint="default"/>
        </w:rPr>
        <w:t>- Internal standard (ribitol).</w:t>
      </w:r>
    </w:p>
    <w:p w14:paraId="51E6DF5B">
      <w:pPr>
        <w:rPr>
          <w:rFonts w:hint="default"/>
        </w:rPr>
      </w:pPr>
      <w:r>
        <w:rPr>
          <w:rFonts w:hint="default"/>
        </w:rPr>
        <w:t>- Gas Chromatograph-Mass Spectrometer (GC-MS).</w:t>
      </w:r>
    </w:p>
    <w:p w14:paraId="4194CCB7">
      <w:pPr>
        <w:rPr>
          <w:rFonts w:hint="default"/>
        </w:rPr>
      </w:pPr>
      <w:r>
        <w:rPr>
          <w:rFonts w:hint="default"/>
        </w:rPr>
        <w:t>- Data analysis software.</w:t>
      </w:r>
    </w:p>
    <w:p w14:paraId="59737129">
      <w:pPr>
        <w:rPr>
          <w:rFonts w:hint="default"/>
        </w:rPr>
      </w:pPr>
      <w:r>
        <w:rPr>
          <w:rFonts w:hint="default"/>
        </w:rPr>
        <w:t>$</w:t>
      </w:r>
    </w:p>
    <w:p w14:paraId="7C73FC30">
      <w:pPr>
        <w:rPr>
          <w:rFonts w:hint="default"/>
        </w:rPr>
      </w:pPr>
      <w:r>
        <w:rPr>
          <w:rFonts w:hint="default"/>
        </w:rPr>
        <w:t>Controls_and_validation:</w:t>
      </w:r>
    </w:p>
    <w:p w14:paraId="71C34D66">
      <w:pPr>
        <w:rPr>
          <w:rFonts w:hint="default"/>
        </w:rPr>
      </w:pPr>
      <w:r>
        <w:rPr>
          <w:rFonts w:hint="default"/>
        </w:rPr>
        <w:t>- Positive control: Untreated or dsRNA-GFP treated insects show a normal metabolic profile.</w:t>
      </w:r>
    </w:p>
    <w:p w14:paraId="61FF3F18">
      <w:pPr>
        <w:rPr>
          <w:rFonts w:hint="default"/>
        </w:rPr>
      </w:pPr>
      <w:r>
        <w:rPr>
          <w:rFonts w:hint="default"/>
        </w:rPr>
        <w:t>- Negative control: Extraction solvent blank.</w:t>
      </w:r>
    </w:p>
    <w:p w14:paraId="4D117610">
      <w:pPr>
        <w:rPr>
          <w:rFonts w:hint="default"/>
        </w:rPr>
      </w:pPr>
      <w:r>
        <w:rPr>
          <w:rFonts w:hint="default"/>
        </w:rPr>
        <w:t>- Validation logic: Successful silencing of sucrose hydrolase should lead to an accumulation of its substrate (sucrose) and a decrease in its products (glucose, fructose) and downstream metabolites (trehalose). Detection of this pattern confirms the specific metabolic disruption.</w:t>
      </w:r>
    </w:p>
    <w:p w14:paraId="0084E65C">
      <w:pPr>
        <w:rPr>
          <w:rFonts w:hint="default"/>
        </w:rPr>
      </w:pPr>
      <w:r>
        <w:rPr>
          <w:rFonts w:hint="default"/>
        </w:rPr>
        <w:t>$</w:t>
      </w:r>
    </w:p>
    <w:p w14:paraId="1C080C97">
      <w:pPr>
        <w:rPr>
          <w:rFonts w:hint="default"/>
        </w:rPr>
      </w:pPr>
      <w:r>
        <w:rPr>
          <w:rFonts w:hint="default"/>
        </w:rPr>
        <w:t>Notes:</w:t>
      </w:r>
    </w:p>
    <w:p w14:paraId="4112A0C0">
      <w:pPr>
        <w:rPr>
          <w:rFonts w:hint="default"/>
        </w:rPr>
      </w:pPr>
      <w:r>
        <w:rPr>
          <w:rFonts w:hint="default"/>
        </w:rPr>
        <w:t>- The derivatization process is critical for volatilizing metabolites for GC-MS analysis.</w:t>
      </w:r>
    </w:p>
    <w:p w14:paraId="1AFB3B2B">
      <w:pPr>
        <w:rPr>
          <w:rFonts w:hint="default"/>
        </w:rPr>
      </w:pPr>
      <w:r>
        <w:rPr>
          <w:rFonts w:hint="default"/>
        </w:rPr>
        <w:t>- Include analytical replicates (technical replicates) for each biological sample.</w:t>
      </w:r>
    </w:p>
    <w:p w14:paraId="5F272FB1">
      <w:pPr>
        <w:rPr>
          <w:rFonts w:hint="default"/>
        </w:rPr>
      </w:pPr>
      <w:r>
        <w:rPr>
          <w:rFonts w:hint="default"/>
        </w:rPr>
        <w:t>- The metabolomic workflow is complex and requires expertise in both sample preparation and instrument operation/data analysis.</w:t>
      </w:r>
    </w:p>
    <w:p w14:paraId="7394A2EF">
      <w:pPr>
        <w:rPr>
          <w:rFonts w:hint="default"/>
          <w:lang w:val="en-US" w:eastAsia="zh-CN"/>
        </w:rPr>
      </w:pPr>
      <w:r>
        <w:rPr>
          <w:rFonts w:hint="default"/>
        </w:rPr>
        <w:t>{}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814E9"/>
    <w:rsid w:val="2BE4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2086</Words>
  <Characters>12426</Characters>
  <Lines>0</Lines>
  <Paragraphs>0</Paragraphs>
  <TotalTime>18</TotalTime>
  <ScaleCrop>false</ScaleCrop>
  <LinksUpToDate>false</LinksUpToDate>
  <CharactersWithSpaces>14397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2026-01-19T08:53:00Z</dcterms:created>
  <dc:creator>DELL</dc:creator>
  <cp:lastModifiedBy>李宗桓</cp:lastModifiedBy>
  <dcterms:modified xsi:type="dcterms:W3CDTF">2026-01-20T08:33:18Z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4A8EFF58B9BD464AA888F1E10DBFFAE0_12</vt:lpwstr>
  </property>
</Properties>
</file>