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0FD6D">
      <w:pPr>
        <w:rPr>
          <w:rFonts w:hint="default"/>
        </w:rPr>
      </w:pPr>
      <w:r>
        <w:rPr>
          <w:rFonts w:hint="default"/>
        </w:rPr>
        <w:t>{}</w:t>
      </w:r>
    </w:p>
    <w:p w14:paraId="6775D6CB">
      <w:pPr>
        <w:rPr>
          <w:rFonts w:hint="default"/>
        </w:rPr>
      </w:pPr>
      <w:r>
        <w:rPr>
          <w:rFonts w:hint="default"/>
        </w:rPr>
        <w:t>$</w:t>
      </w:r>
    </w:p>
    <w:p w14:paraId="096FF5A5">
      <w:pPr>
        <w:rPr>
          <w:rFonts w:hint="default"/>
        </w:rPr>
      </w:pPr>
      <w:r>
        <w:rPr>
          <w:rFonts w:hint="default"/>
        </w:rPr>
        <w:t>Spraying dsRNA with chitosan formulation improves control of the western flower thrips, Frankliniella occidentalis, in a greenhouse</w:t>
      </w:r>
    </w:p>
    <w:p w14:paraId="34C581D2">
      <w:pPr>
        <w:rPr>
          <w:rFonts w:hint="default"/>
        </w:rPr>
      </w:pPr>
      <w:r>
        <w:rPr>
          <w:rFonts w:hint="default"/>
        </w:rPr>
        <w:t>- Source: Insect Molecular Biology 2024</w:t>
      </w:r>
    </w:p>
    <w:p w14:paraId="095BB87E">
      <w:pPr>
        <w:rPr>
          <w:rFonts w:hint="default"/>
        </w:rPr>
      </w:pPr>
      <w:r>
        <w:rPr>
          <w:rFonts w:hint="default"/>
        </w:rPr>
        <w:t>- DOI: 10.1111/imb.12954</w:t>
      </w:r>
    </w:p>
    <w:p w14:paraId="6FD11023">
      <w:pPr>
        <w:rPr>
          <w:rFonts w:hint="default"/>
        </w:rPr>
      </w:pPr>
      <w:r>
        <w:rPr>
          <w:rFonts w:hint="default"/>
        </w:rPr>
        <w:t>- Scope: Enhancing field efficacy of dsRNA against thrips via chitosan nanoparticle formulation, target gene screening (vATPase, Snf7), and multi-species dsRNA mixtures.</w:t>
      </w:r>
    </w:p>
    <w:p w14:paraId="4092A8BF">
      <w:pPr>
        <w:rPr>
          <w:rFonts w:hint="default"/>
        </w:rPr>
      </w:pPr>
      <w:r>
        <w:rPr>
          <w:rFonts w:hint="default"/>
        </w:rPr>
        <w:t>- Study_type: formulation optimization and target gene validation</w:t>
      </w:r>
    </w:p>
    <w:p w14:paraId="3C22D7BD">
      <w:pPr>
        <w:rPr>
          <w:rFonts w:hint="default"/>
        </w:rPr>
      </w:pPr>
      <w:r>
        <w:rPr>
          <w:rFonts w:hint="default"/>
        </w:rPr>
        <w:t>- Target_context: Overcoming dsRNA degradation and low persistence to improve RNAi-based control of piercing-sucking pests in protected agriculture.</w:t>
      </w:r>
    </w:p>
    <w:p w14:paraId="3A845B6C">
      <w:pPr>
        <w:rPr>
          <w:rFonts w:hint="default"/>
        </w:rPr>
      </w:pPr>
      <w:r>
        <w:rPr>
          <w:rFonts w:hint="default"/>
        </w:rPr>
        <w:t>- Organism_or_system: Insect (Thysanoptera: Thripidae)</w:t>
      </w:r>
    </w:p>
    <w:p w14:paraId="267F8D97">
      <w:pPr>
        <w:rPr>
          <w:rFonts w:hint="default"/>
        </w:rPr>
      </w:pPr>
      <w:r>
        <w:rPr>
          <w:rFonts w:hint="default"/>
        </w:rPr>
        <w:t>- Delivery_or_intervention_mode: feeding (diet soak), foliar spray (naked and chitosan-formulated)</w:t>
      </w:r>
    </w:p>
    <w:p w14:paraId="736B0321">
      <w:pPr>
        <w:rPr>
          <w:rFonts w:hint="default"/>
        </w:rPr>
      </w:pPr>
      <w:r>
        <w:rPr>
          <w:rFonts w:hint="default"/>
        </w:rPr>
        <w:t>$</w:t>
      </w:r>
    </w:p>
    <w:p w14:paraId="1C9D70E8">
      <w:pPr>
        <w:rPr>
          <w:rFonts w:hint="default"/>
        </w:rPr>
      </w:pPr>
      <w:r>
        <w:rPr>
          <w:rFonts w:hint="default"/>
        </w:rPr>
        <w:t>Metadata</w:t>
      </w:r>
    </w:p>
    <w:p w14:paraId="4CECC549">
      <w:pPr>
        <w:rPr>
          <w:rFonts w:hint="default"/>
        </w:rPr>
      </w:pPr>
      <w:r>
        <w:rPr>
          <w:rFonts w:hint="default"/>
        </w:rPr>
        <w:t>Source: Insect Molecular Biology 2024</w:t>
      </w:r>
    </w:p>
    <w:p w14:paraId="67EE3717">
      <w:pPr>
        <w:rPr>
          <w:rFonts w:hint="default"/>
        </w:rPr>
      </w:pPr>
      <w:r>
        <w:rPr>
          <w:rFonts w:hint="default"/>
        </w:rPr>
        <w:t>DOI: 10.1111/imb.12954</w:t>
      </w:r>
    </w:p>
    <w:p w14:paraId="23396B46">
      <w:pPr>
        <w:rPr>
          <w:rFonts w:hint="default"/>
        </w:rPr>
      </w:pPr>
      <w:r>
        <w:rPr>
          <w:rFonts w:hint="default"/>
        </w:rPr>
        <w:t>Scope: Protocol development for chitosan-formulated dsRNA spray against thrips, including lab validation, gut nuclease assays, and greenhouse efficacy trials.</w:t>
      </w:r>
    </w:p>
    <w:p w14:paraId="60023E03">
      <w:pPr>
        <w:rPr>
          <w:rFonts w:hint="default"/>
        </w:rPr>
      </w:pPr>
      <w:r>
        <w:rPr>
          <w:rFonts w:hint="default"/>
        </w:rPr>
        <w:t>Study_type: formulation optimization</w:t>
      </w:r>
    </w:p>
    <w:p w14:paraId="0150D38C">
      <w:pPr>
        <w:rPr>
          <w:rFonts w:hint="default"/>
        </w:rPr>
      </w:pPr>
      <w:r>
        <w:rPr>
          <w:rFonts w:hint="default"/>
        </w:rPr>
        <w:t>Organism: Frankliniella occidentalis (primary), F. intonsa, Thrips tabaci</w:t>
      </w:r>
    </w:p>
    <w:p w14:paraId="4212E8D1">
      <w:pPr>
        <w:rPr>
          <w:rFonts w:hint="default"/>
        </w:rPr>
      </w:pPr>
      <w:r>
        <w:rPr>
          <w:rFonts w:hint="default"/>
        </w:rPr>
        <w:t>Developmental_stage: larvae, adults (&lt;3 days old)</w:t>
      </w:r>
    </w:p>
    <w:p w14:paraId="4EEC1C66">
      <w:pPr>
        <w:rPr>
          <w:rFonts w:hint="default"/>
        </w:rPr>
      </w:pPr>
      <w:r>
        <w:rPr>
          <w:rFonts w:hint="default"/>
        </w:rPr>
        <w:t>Delivery_mode: oral (diet soak), foliar spray (naked &amp; chitosan-nanoparticle)</w:t>
      </w:r>
    </w:p>
    <w:p w14:paraId="1C2F59B5">
      <w:pPr>
        <w:rPr>
          <w:rFonts w:hint="default"/>
        </w:rPr>
      </w:pPr>
      <w:r>
        <w:rPr>
          <w:rFonts w:hint="default"/>
        </w:rPr>
        <w:t>Molecule_or_intervention_type: dsRNA, chitosan nanoparticles</w:t>
      </w:r>
    </w:p>
    <w:p w14:paraId="7F793EC1">
      <w:pPr>
        <w:rPr>
          <w:rFonts w:hint="default"/>
        </w:rPr>
      </w:pPr>
      <w:r>
        <w:rPr>
          <w:rFonts w:hint="default"/>
        </w:rPr>
        <w:t>Application_context: laboratory and greenhouse</w:t>
      </w:r>
    </w:p>
    <w:p w14:paraId="78ABEF20">
      <w:pPr>
        <w:rPr>
          <w:rFonts w:hint="default"/>
        </w:rPr>
      </w:pPr>
      <w:r>
        <w:rPr>
          <w:rFonts w:hint="default"/>
        </w:rPr>
        <w:t>Validation_level: molecular, phenotypic, and environmental stress testing (multi-level)</w:t>
      </w:r>
    </w:p>
    <w:p w14:paraId="3B68D318">
      <w:pPr>
        <w:rPr>
          <w:rFonts w:hint="default"/>
        </w:rPr>
      </w:pPr>
      <w:r>
        <w:rPr>
          <w:rFonts w:hint="default"/>
        </w:rPr>
        <w:t>Target_gene_or_pathway: vATPase-B, Snf7 family genes, dsRNase genes (for mechanism study)</w:t>
      </w:r>
    </w:p>
    <w:p w14:paraId="39525F0E">
      <w:pPr>
        <w:rPr>
          <w:rFonts w:hint="default"/>
        </w:rPr>
      </w:pPr>
      <w:r>
        <w:rPr>
          <w:rFonts w:hint="default"/>
        </w:rPr>
        <w:t>$</w:t>
      </w:r>
    </w:p>
    <w:p w14:paraId="14417895">
      <w:pPr>
        <w:rPr>
          <w:rFonts w:hint="default"/>
        </w:rPr>
      </w:pPr>
      <w:r>
        <w:rPr>
          <w:rFonts w:hint="default"/>
        </w:rPr>
        <w:t>Usage note</w:t>
      </w:r>
    </w:p>
    <w:p w14:paraId="27AE20EC">
      <w:pPr>
        <w:rPr>
          <w:rFonts w:hint="default"/>
        </w:rPr>
      </w:pPr>
      <w:r>
        <w:rPr>
          <w:rFonts w:hint="default"/>
        </w:rPr>
        <w:t>This document is intended for experimental workflow guidance and protocol-level reasoning.</w:t>
      </w:r>
    </w:p>
    <w:p w14:paraId="0C704390">
      <w:pPr>
        <w:rPr>
          <w:rFonts w:hint="default"/>
        </w:rPr>
      </w:pPr>
      <w:r>
        <w:rPr>
          <w:rFonts w:hint="default"/>
        </w:rPr>
        <w:t>Numerical parameters and optimization details should be adapted to specific experimental contexts.</w:t>
      </w:r>
    </w:p>
    <w:p w14:paraId="62FD5487">
      <w:pPr>
        <w:rPr>
          <w:rFonts w:hint="default"/>
        </w:rPr>
      </w:pPr>
    </w:p>
    <w:p w14:paraId="19632051">
      <w:pPr>
        <w:rPr>
          <w:rFonts w:hint="default"/>
        </w:rPr>
      </w:pPr>
      <w:r>
        <w:rPr>
          <w:rFonts w:hint="default"/>
        </w:rPr>
        <w:t>{}</w:t>
      </w:r>
    </w:p>
    <w:p w14:paraId="0A1DE117">
      <w:pPr>
        <w:rPr>
          <w:rFonts w:hint="default"/>
        </w:rPr>
      </w:pPr>
      <w:r>
        <w:rPr>
          <w:rFonts w:hint="default"/>
        </w:rPr>
        <w:t>$</w:t>
      </w:r>
    </w:p>
    <w:p w14:paraId="7309C098">
      <w:pPr>
        <w:rPr>
          <w:rFonts w:hint="default"/>
        </w:rPr>
      </w:pPr>
      <w:r>
        <w:rPr>
          <w:rFonts w:hint="default"/>
        </w:rPr>
        <w:t>Sub-protocol 1: Rearing of Thrips Species and a Non-Target Lepidopteran</w:t>
      </w:r>
    </w:p>
    <w:p w14:paraId="40146331">
      <w:pPr>
        <w:rPr>
          <w:rFonts w:hint="default"/>
        </w:rPr>
      </w:pPr>
      <w:r>
        <w:rPr>
          <w:rFonts w:hint="default"/>
        </w:rPr>
        <w:t>**[PROTOCOL_STAGE=ORGANISM_REARING]**</w:t>
      </w:r>
    </w:p>
    <w:p w14:paraId="775231B2">
      <w:pPr>
        <w:rPr>
          <w:rFonts w:hint="default"/>
        </w:rPr>
      </w:pPr>
      <w:r>
        <w:rPr>
          <w:rFonts w:hint="default"/>
        </w:rPr>
        <w:t>$</w:t>
      </w:r>
    </w:p>
    <w:p w14:paraId="306EC1F1">
      <w:pPr>
        <w:rPr>
          <w:rFonts w:hint="default"/>
        </w:rPr>
      </w:pPr>
      <w:r>
        <w:rPr>
          <w:rFonts w:hint="default"/>
        </w:rPr>
        <w:t>Applicable when:</w:t>
      </w:r>
    </w:p>
    <w:p w14:paraId="4A621FD5">
      <w:pPr>
        <w:rPr>
          <w:rFonts w:hint="default"/>
        </w:rPr>
      </w:pPr>
      <w:r>
        <w:rPr>
          <w:rFonts w:hint="default"/>
        </w:rPr>
        <w:t>Maintaining multiple insect species for comparative RNAi efficacy and non-target effect studies in a controlled laboratory setting.</w:t>
      </w:r>
    </w:p>
    <w:p w14:paraId="09BDA201">
      <w:pPr>
        <w:rPr>
          <w:rFonts w:hint="default"/>
        </w:rPr>
      </w:pPr>
      <w:r>
        <w:rPr>
          <w:rFonts w:hint="default"/>
        </w:rPr>
        <w:t>$</w:t>
      </w:r>
    </w:p>
    <w:p w14:paraId="5B2D660D">
      <w:pPr>
        <w:rPr>
          <w:rFonts w:hint="default"/>
        </w:rPr>
      </w:pPr>
      <w:r>
        <w:rPr>
          <w:rFonts w:hint="default"/>
        </w:rPr>
        <w:t>Purpose:</w:t>
      </w:r>
    </w:p>
    <w:p w14:paraId="37A3256F">
      <w:pPr>
        <w:rPr>
          <w:rFonts w:hint="default"/>
        </w:rPr>
      </w:pPr>
      <w:r>
        <w:rPr>
          <w:rFonts w:hint="default"/>
        </w:rPr>
        <w:t>To establish synchronized, healthy colonies of target thrips pests and a non-target lepidopteran for bioassays.</w:t>
      </w:r>
    </w:p>
    <w:p w14:paraId="26EE5E5F">
      <w:pPr>
        <w:rPr>
          <w:rFonts w:hint="default"/>
        </w:rPr>
      </w:pPr>
      <w:r>
        <w:rPr>
          <w:rFonts w:hint="default"/>
        </w:rPr>
        <w:t>$</w:t>
      </w:r>
    </w:p>
    <w:p w14:paraId="4B304982">
      <w:pPr>
        <w:rPr>
          <w:rFonts w:hint="default"/>
        </w:rPr>
      </w:pPr>
      <w:r>
        <w:rPr>
          <w:rFonts w:hint="default"/>
        </w:rPr>
        <w:t>Procedure:</w:t>
      </w:r>
    </w:p>
    <w:p w14:paraId="064749DC">
      <w:pPr>
        <w:rPr>
          <w:rFonts w:hint="default"/>
        </w:rPr>
      </w:pPr>
      <w:r>
        <w:rPr>
          <w:rFonts w:hint="default"/>
        </w:rPr>
        <w:t>1.  **Thrips Rearing (F. occidentalis &amp; F. intonsa):** Maintain colonies at 25 ± 1°C, 70 ± 5% RH, 16:8 L:D. Provide germinated kidney bean (Phaseolus coccineus) seeds as diet for larvae and adults. Transfer newly hatched larvae daily to a fresh breeding dish (100 mm x 40 mm).</w:t>
      </w:r>
    </w:p>
    <w:p w14:paraId="0432623A">
      <w:pPr>
        <w:rPr>
          <w:rFonts w:hint="default"/>
        </w:rPr>
      </w:pPr>
      <w:r>
        <w:rPr>
          <w:rFonts w:hint="default"/>
        </w:rPr>
        <w:t>2.  **Thrips Rearing (T. tabaci):** Collect from field (e.g., onion field) and establish lab colony under same conditions. Feed adults and larvae on freshly harvested Welsh onion (Allium fistulosum) leaves. Transfer eggs laid on leaves to a breeding dish. Upon hatching, move larvae to a dedicated dish for age synchronization.</w:t>
      </w:r>
    </w:p>
    <w:p w14:paraId="2A8BED94">
      <w:pPr>
        <w:rPr>
          <w:rFonts w:hint="default"/>
        </w:rPr>
      </w:pPr>
      <w:r>
        <w:rPr>
          <w:rFonts w:hint="default"/>
        </w:rPr>
        <w:t>3.  **Non-Target Insect Rearing (S. exigua):** Collect larvae from field and rear under same lab conditions. Feed larvae an artificial diet. Classify larval instars (L1-L5) based on head capsule size. Provide adults with 10% sucrose solution.</w:t>
      </w:r>
    </w:p>
    <w:p w14:paraId="258B337D">
      <w:pPr>
        <w:rPr>
          <w:rFonts w:hint="default"/>
        </w:rPr>
      </w:pPr>
      <w:r>
        <w:rPr>
          <w:rFonts w:hint="default"/>
        </w:rPr>
        <w:t>$</w:t>
      </w:r>
    </w:p>
    <w:p w14:paraId="1B5C2598">
      <w:pPr>
        <w:rPr>
          <w:rFonts w:hint="default"/>
        </w:rPr>
      </w:pPr>
      <w:r>
        <w:rPr>
          <w:rFonts w:hint="default"/>
        </w:rPr>
        <w:t>Key materials and equipment:</w:t>
      </w:r>
    </w:p>
    <w:p w14:paraId="1E7F4C78">
      <w:pPr>
        <w:rPr>
          <w:rFonts w:hint="default"/>
        </w:rPr>
      </w:pPr>
      <w:r>
        <w:rPr>
          <w:rFonts w:hint="default"/>
        </w:rPr>
        <w:t>- Climate-controlled chamber (25°C, 70% RH, 16:8 L:D)</w:t>
      </w:r>
    </w:p>
    <w:p w14:paraId="47274207">
      <w:pPr>
        <w:rPr>
          <w:rFonts w:hint="default"/>
        </w:rPr>
      </w:pPr>
      <w:r>
        <w:rPr>
          <w:rFonts w:hint="default"/>
        </w:rPr>
        <w:t>- Kidney bean seeds for germination</w:t>
      </w:r>
    </w:p>
    <w:p w14:paraId="46D7223D">
      <w:pPr>
        <w:rPr>
          <w:rFonts w:hint="default"/>
        </w:rPr>
      </w:pPr>
      <w:r>
        <w:rPr>
          <w:rFonts w:hint="default"/>
        </w:rPr>
        <w:t>- Welsh onion leaves (Allium fistulosum)</w:t>
      </w:r>
    </w:p>
    <w:p w14:paraId="0C71ACE9">
      <w:pPr>
        <w:rPr>
          <w:rFonts w:hint="default"/>
        </w:rPr>
      </w:pPr>
      <w:r>
        <w:rPr>
          <w:rFonts w:hint="default"/>
        </w:rPr>
        <w:t>- Artificial diet for S. exigua</w:t>
      </w:r>
    </w:p>
    <w:p w14:paraId="46181E22">
      <w:pPr>
        <w:rPr>
          <w:rFonts w:hint="default"/>
        </w:rPr>
      </w:pPr>
      <w:r>
        <w:rPr>
          <w:rFonts w:hint="default"/>
        </w:rPr>
        <w:t>- Breeding dishes (100 x 40 mm)</w:t>
      </w:r>
    </w:p>
    <w:p w14:paraId="4210D124">
      <w:pPr>
        <w:rPr>
          <w:rFonts w:hint="default"/>
        </w:rPr>
      </w:pPr>
      <w:r>
        <w:rPr>
          <w:rFonts w:hint="default"/>
        </w:rPr>
        <w:t>- Sucrose solution (10%)</w:t>
      </w:r>
    </w:p>
    <w:p w14:paraId="48FE7D5A">
      <w:pPr>
        <w:rPr>
          <w:rFonts w:hint="default"/>
        </w:rPr>
      </w:pPr>
      <w:r>
        <w:rPr>
          <w:rFonts w:hint="default"/>
        </w:rPr>
        <w:t>$</w:t>
      </w:r>
    </w:p>
    <w:p w14:paraId="23BDA906">
      <w:pPr>
        <w:rPr>
          <w:rFonts w:hint="default"/>
        </w:rPr>
      </w:pPr>
      <w:r>
        <w:rPr>
          <w:rFonts w:hint="default"/>
        </w:rPr>
        <w:t>Controls_and_validation:</w:t>
      </w:r>
    </w:p>
    <w:p w14:paraId="34AEFE67">
      <w:pPr>
        <w:rPr>
          <w:rFonts w:hint="default"/>
        </w:rPr>
      </w:pPr>
      <w:r>
        <w:rPr>
          <w:rFonts w:hint="default"/>
        </w:rPr>
        <w:t>Field-collected individuals are introduced to maintain genetic diversity in lab colonies. Age synchronization is achieved by daily transfer of neonates.</w:t>
      </w:r>
    </w:p>
    <w:p w14:paraId="3E857982">
      <w:pPr>
        <w:rPr>
          <w:rFonts w:hint="default"/>
        </w:rPr>
      </w:pPr>
      <w:r>
        <w:rPr>
          <w:rFonts w:hint="default"/>
        </w:rPr>
        <w:t>$</w:t>
      </w:r>
    </w:p>
    <w:p w14:paraId="5145F198">
      <w:pPr>
        <w:rPr>
          <w:rFonts w:hint="default"/>
        </w:rPr>
      </w:pPr>
      <w:r>
        <w:rPr>
          <w:rFonts w:hint="default"/>
        </w:rPr>
        <w:t>Notes</w:t>
      </w:r>
    </w:p>
    <w:p w14:paraId="339F9A89">
      <w:pPr>
        <w:rPr>
          <w:rFonts w:hint="default"/>
        </w:rPr>
      </w:pPr>
      <w:r>
        <w:rPr>
          <w:rFonts w:hint="default"/>
        </w:rPr>
        <w:t>Different host plants/diets are required for the different thrips species. Consistent handling and daily transfers are key for synchronized cohorts.</w:t>
      </w:r>
    </w:p>
    <w:p w14:paraId="50DE6562">
      <w:pPr>
        <w:rPr>
          <w:rFonts w:hint="default"/>
        </w:rPr>
      </w:pPr>
    </w:p>
    <w:p w14:paraId="47D585FF">
      <w:pPr>
        <w:rPr>
          <w:rFonts w:hint="default"/>
        </w:rPr>
      </w:pPr>
      <w:r>
        <w:rPr>
          <w:rFonts w:hint="default"/>
        </w:rPr>
        <w:t>{}</w:t>
      </w:r>
    </w:p>
    <w:p w14:paraId="71F02516">
      <w:pPr>
        <w:rPr>
          <w:rFonts w:hint="default"/>
        </w:rPr>
      </w:pPr>
      <w:r>
        <w:rPr>
          <w:rFonts w:hint="default"/>
        </w:rPr>
        <w:t>$</w:t>
      </w:r>
    </w:p>
    <w:p w14:paraId="47243D1C">
      <w:pPr>
        <w:rPr>
          <w:rFonts w:hint="default"/>
        </w:rPr>
      </w:pPr>
      <w:r>
        <w:rPr>
          <w:rFonts w:hint="default"/>
        </w:rPr>
        <w:t>Sub-protocol 2: Identification and Expression Analysis of Target and Nuclease Genes</w:t>
      </w:r>
    </w:p>
    <w:p w14:paraId="2A15EC61">
      <w:pPr>
        <w:rPr>
          <w:rFonts w:hint="default"/>
        </w:rPr>
      </w:pPr>
      <w:r>
        <w:rPr>
          <w:rFonts w:hint="default"/>
        </w:rPr>
        <w:t>**[PROTOCOL_STAGE=SEQUENCE_TEMPLATE_PREPARATION]**</w:t>
      </w:r>
    </w:p>
    <w:p w14:paraId="55E5C6B4">
      <w:pPr>
        <w:rPr>
          <w:rFonts w:hint="default"/>
        </w:rPr>
      </w:pPr>
      <w:r>
        <w:rPr>
          <w:rFonts w:hint="default"/>
        </w:rPr>
        <w:t>$</w:t>
      </w:r>
    </w:p>
    <w:p w14:paraId="06049411">
      <w:pPr>
        <w:rPr>
          <w:rFonts w:hint="default"/>
        </w:rPr>
      </w:pPr>
      <w:r>
        <w:rPr>
          <w:rFonts w:hint="default"/>
        </w:rPr>
        <w:t>Applicable when:</w:t>
      </w:r>
    </w:p>
    <w:p w14:paraId="7FE17DCB">
      <w:pPr>
        <w:rPr>
          <w:rFonts w:hint="default"/>
        </w:rPr>
      </w:pPr>
      <w:r>
        <w:rPr>
          <w:rFonts w:hint="default"/>
        </w:rPr>
        <w:t>Selecting RNAi target genes and investigating potential resistance mechanisms (dsRNA degradation) in a pest with limited genomic resources.</w:t>
      </w:r>
    </w:p>
    <w:p w14:paraId="5ACD93AB">
      <w:pPr>
        <w:rPr>
          <w:rFonts w:hint="default"/>
        </w:rPr>
      </w:pPr>
      <w:r>
        <w:rPr>
          <w:rFonts w:hint="default"/>
        </w:rPr>
        <w:t>$</w:t>
      </w:r>
    </w:p>
    <w:p w14:paraId="2E894FE6">
      <w:pPr>
        <w:rPr>
          <w:rFonts w:hint="default"/>
        </w:rPr>
      </w:pPr>
      <w:r>
        <w:rPr>
          <w:rFonts w:hint="default"/>
        </w:rPr>
        <w:t>Purpose:</w:t>
      </w:r>
    </w:p>
    <w:p w14:paraId="67F1AD8B">
      <w:pPr>
        <w:rPr>
          <w:rFonts w:hint="default"/>
        </w:rPr>
      </w:pPr>
      <w:r>
        <w:rPr>
          <w:rFonts w:hint="default"/>
        </w:rPr>
        <w:t>To bioinformatically identify target gene orthologs (vATPase, Snf7) and dsRNA-degrading nuclease (dsRNase) genes, and to analyze their expression profiles.</w:t>
      </w:r>
    </w:p>
    <w:p w14:paraId="4B5866AC">
      <w:pPr>
        <w:rPr>
          <w:rFonts w:hint="default"/>
        </w:rPr>
      </w:pPr>
      <w:r>
        <w:rPr>
          <w:rFonts w:hint="default"/>
        </w:rPr>
        <w:t>$</w:t>
      </w:r>
    </w:p>
    <w:p w14:paraId="43E5AAC3">
      <w:pPr>
        <w:rPr>
          <w:rFonts w:hint="default"/>
        </w:rPr>
      </w:pPr>
      <w:r>
        <w:rPr>
          <w:rFonts w:hint="default"/>
        </w:rPr>
        <w:t>Procedure:</w:t>
      </w:r>
    </w:p>
    <w:p w14:paraId="74FC7BF2">
      <w:pPr>
        <w:rPr>
          <w:rFonts w:hint="default"/>
        </w:rPr>
      </w:pPr>
      <w:r>
        <w:rPr>
          <w:rFonts w:hint="default"/>
        </w:rPr>
        <w:t>1.  **Sequence Retrieval:** Retrieve known target gene sequence (vATPase-B, KP234253.1) from GenBank. For novel targets (Snf7 family) and dsRNases, mine sequences from the F. occidentalis transcriptome shotgun assembly using BLAST. Record accession numbers.</w:t>
      </w:r>
    </w:p>
    <w:p w14:paraId="564B3BE0">
      <w:pPr>
        <w:rPr>
          <w:rFonts w:hint="default"/>
        </w:rPr>
      </w:pPr>
      <w:r>
        <w:rPr>
          <w:rFonts w:hint="default"/>
        </w:rPr>
        <w:t>2.  **Bioinformatic Analysis:**</w:t>
      </w:r>
    </w:p>
    <w:p w14:paraId="72216F54">
      <w:pPr>
        <w:rPr>
          <w:rFonts w:hint="default"/>
        </w:rPr>
      </w:pPr>
      <w:r>
        <w:rPr>
          <w:rFonts w:hint="default"/>
        </w:rPr>
        <w:t xml:space="preserve">    - **ORF Prediction:** Use ORFfinder to identify open reading frames.</w:t>
      </w:r>
    </w:p>
    <w:p w14:paraId="67E2BE6C">
      <w:pPr>
        <w:rPr>
          <w:rFonts w:hint="default"/>
        </w:rPr>
      </w:pPr>
      <w:r>
        <w:rPr>
          <w:rFonts w:hint="default"/>
        </w:rPr>
        <w:t xml:space="preserve">    - **Domain Prediction:** Use EMBL-EBI and Pfam to predict protein domains.</w:t>
      </w:r>
    </w:p>
    <w:p w14:paraId="3C17676E">
      <w:pPr>
        <w:rPr>
          <w:rFonts w:hint="default"/>
        </w:rPr>
      </w:pPr>
      <w:r>
        <w:rPr>
          <w:rFonts w:hint="default"/>
        </w:rPr>
        <w:t xml:space="preserve">    - **Signal Peptide Prediction:** Use SignalP v5.0 to predict secretion signals (relevant for dsRNases).</w:t>
      </w:r>
    </w:p>
    <w:p w14:paraId="14A0DE33">
      <w:pPr>
        <w:rPr>
          <w:rFonts w:hint="default"/>
        </w:rPr>
      </w:pPr>
      <w:r>
        <w:rPr>
          <w:rFonts w:hint="default"/>
        </w:rPr>
        <w:t xml:space="preserve">    - **Phylogenetics:** Perform Neighbour-Joining phylogenetic analysis with MEGA6.06 (1000 bootstraps).</w:t>
      </w:r>
    </w:p>
    <w:p w14:paraId="21EE7994">
      <w:pPr>
        <w:rPr>
          <w:rFonts w:hint="default"/>
        </w:rPr>
      </w:pPr>
      <w:r>
        <w:rPr>
          <w:rFonts w:hint="default"/>
        </w:rPr>
        <w:t xml:space="preserve">    - **Alignment:** Use ClustalW in DNASTAR for sequence alignments.</w:t>
      </w:r>
    </w:p>
    <w:p w14:paraId="5F634283">
      <w:pPr>
        <w:rPr>
          <w:rFonts w:hint="default"/>
        </w:rPr>
      </w:pPr>
      <w:r>
        <w:rPr>
          <w:rFonts w:hint="default"/>
        </w:rPr>
        <w:t>3.  **Expression Profiling (RT-qPCR):**</w:t>
      </w:r>
    </w:p>
    <w:p w14:paraId="4BBEEF83">
      <w:pPr>
        <w:rPr>
          <w:rFonts w:hint="default"/>
        </w:rPr>
      </w:pPr>
      <w:r>
        <w:rPr>
          <w:rFonts w:hint="default"/>
        </w:rPr>
        <w:t xml:space="preserve">    - **Sample Collection:** Collect ~50 individuals per stage/sex: larva, pupa, adult male, adult female. Extract total RNA using Trizol reagent.</w:t>
      </w:r>
    </w:p>
    <w:p w14:paraId="6CF42351">
      <w:pPr>
        <w:rPr>
          <w:rFonts w:hint="default"/>
        </w:rPr>
      </w:pPr>
      <w:r>
        <w:rPr>
          <w:rFonts w:hint="default"/>
        </w:rPr>
        <w:t xml:space="preserve">    - **cDNA Synthesis:** Synthesize cDNA from 60 ng RNA using an RT-Premix with oligo-dT primer.</w:t>
      </w:r>
    </w:p>
    <w:p w14:paraId="461E1C75">
      <w:pPr>
        <w:rPr>
          <w:rFonts w:hint="default"/>
        </w:rPr>
      </w:pPr>
      <w:r>
        <w:rPr>
          <w:rFonts w:hint="default"/>
        </w:rPr>
        <w:t xml:space="preserve">    - **qPCR:** Perform reactions in 20 µL using Power SYBR Green PCR Master Mix, 2 µL cDNA, and gene-specific primers. Use elongation factor (EF1) as reference gene. Use a Step One Plus Real-Time PCR System. Analyze using the 2^(-ΔΔCT) method with three biological replicates.</w:t>
      </w:r>
    </w:p>
    <w:p w14:paraId="3FA8F568">
      <w:pPr>
        <w:rPr>
          <w:rFonts w:hint="default"/>
        </w:rPr>
      </w:pPr>
      <w:r>
        <w:rPr>
          <w:rFonts w:hint="default"/>
        </w:rPr>
        <w:t>$</w:t>
      </w:r>
    </w:p>
    <w:p w14:paraId="549ED79C">
      <w:pPr>
        <w:rPr>
          <w:rFonts w:hint="default"/>
        </w:rPr>
      </w:pPr>
      <w:r>
        <w:rPr>
          <w:rFonts w:hint="default"/>
        </w:rPr>
        <w:t>Key materials and equipment:</w:t>
      </w:r>
    </w:p>
    <w:p w14:paraId="1616E34B">
      <w:pPr>
        <w:rPr>
          <w:rFonts w:hint="default"/>
        </w:rPr>
      </w:pPr>
      <w:r>
        <w:rPr>
          <w:rFonts w:hint="default"/>
        </w:rPr>
        <w:t>- Trizol reagent (Invitrogen)</w:t>
      </w:r>
    </w:p>
    <w:p w14:paraId="3503D063">
      <w:pPr>
        <w:rPr>
          <w:rFonts w:hint="default"/>
        </w:rPr>
      </w:pPr>
      <w:r>
        <w:rPr>
          <w:rFonts w:hint="default"/>
        </w:rPr>
        <w:t>- RT-Premix (Intron Biotechnology)</w:t>
      </w:r>
    </w:p>
    <w:p w14:paraId="427D4AF9">
      <w:pPr>
        <w:rPr>
          <w:rFonts w:hint="default"/>
        </w:rPr>
      </w:pPr>
      <w:r>
        <w:rPr>
          <w:rFonts w:hint="default"/>
        </w:rPr>
        <w:t>- Power SYBR Green PCR Master Mix (Life Technologies)</w:t>
      </w:r>
    </w:p>
    <w:p w14:paraId="2D1E4AC5">
      <w:pPr>
        <w:rPr>
          <w:rFonts w:hint="default"/>
        </w:rPr>
      </w:pPr>
      <w:r>
        <w:rPr>
          <w:rFonts w:hint="default"/>
        </w:rPr>
        <w:t>- Step One Plus Real-Time PCR System (Applied Biosystems)</w:t>
      </w:r>
    </w:p>
    <w:p w14:paraId="7EB4B6D6">
      <w:pPr>
        <w:rPr>
          <w:rFonts w:hint="default"/>
        </w:rPr>
      </w:pPr>
      <w:r>
        <w:rPr>
          <w:rFonts w:hint="default"/>
        </w:rPr>
        <w:t>- Bioinformatics tools: ORFfinder, SignalP, MEGA, ClustalW</w:t>
      </w:r>
    </w:p>
    <w:p w14:paraId="450ACB73">
      <w:pPr>
        <w:rPr>
          <w:rFonts w:hint="default"/>
        </w:rPr>
      </w:pPr>
      <w:r>
        <w:rPr>
          <w:rFonts w:hint="default"/>
        </w:rPr>
        <w:t>$</w:t>
      </w:r>
    </w:p>
    <w:p w14:paraId="789F72F0">
      <w:pPr>
        <w:rPr>
          <w:rFonts w:hint="default"/>
        </w:rPr>
      </w:pPr>
      <w:r>
        <w:rPr>
          <w:rFonts w:hint="default"/>
        </w:rPr>
        <w:t>Controls_and_validation:</w:t>
      </w:r>
    </w:p>
    <w:p w14:paraId="09839D42">
      <w:pPr>
        <w:rPr>
          <w:rFonts w:hint="default"/>
        </w:rPr>
      </w:pPr>
      <w:r>
        <w:rPr>
          <w:rFonts w:hint="default"/>
        </w:rPr>
        <w:t>Use a validated reference gene (EF1). Include melting curve analysis in qPCR to ensure primer specificity. Phylogenetic analysis confirms gene family identity.</w:t>
      </w:r>
    </w:p>
    <w:p w14:paraId="1CF2A7C7">
      <w:pPr>
        <w:rPr>
          <w:rFonts w:hint="default"/>
        </w:rPr>
      </w:pPr>
      <w:r>
        <w:rPr>
          <w:rFonts w:hint="default"/>
        </w:rPr>
        <w:t>$</w:t>
      </w:r>
    </w:p>
    <w:p w14:paraId="651AF10B">
      <w:pPr>
        <w:rPr>
          <w:rFonts w:hint="default"/>
        </w:rPr>
      </w:pPr>
      <w:r>
        <w:rPr>
          <w:rFonts w:hint="default"/>
        </w:rPr>
        <w:t>Notes</w:t>
      </w:r>
    </w:p>
    <w:p w14:paraId="66914096">
      <w:pPr>
        <w:rPr>
          <w:rFonts w:hint="default"/>
        </w:rPr>
      </w:pPr>
      <w:r>
        <w:rPr>
          <w:rFonts w:hint="default"/>
        </w:rPr>
        <w:t>This protocol bridges bioinformatics and molecular validation. Identifying dsRNases is key to diagnosing RNAi recalcitrance.</w:t>
      </w:r>
    </w:p>
    <w:p w14:paraId="53A12159">
      <w:pPr>
        <w:rPr>
          <w:rFonts w:hint="default"/>
        </w:rPr>
      </w:pPr>
    </w:p>
    <w:p w14:paraId="7D9BB747">
      <w:pPr>
        <w:rPr>
          <w:rFonts w:hint="default"/>
        </w:rPr>
      </w:pPr>
      <w:r>
        <w:rPr>
          <w:rFonts w:hint="default"/>
        </w:rPr>
        <w:t>{}</w:t>
      </w:r>
    </w:p>
    <w:p w14:paraId="57D4320E">
      <w:pPr>
        <w:rPr>
          <w:rFonts w:hint="default"/>
        </w:rPr>
      </w:pPr>
      <w:r>
        <w:rPr>
          <w:rFonts w:hint="default"/>
        </w:rPr>
        <w:t>$</w:t>
      </w:r>
    </w:p>
    <w:p w14:paraId="1AF16E4F">
      <w:pPr>
        <w:rPr>
          <w:rFonts w:hint="default"/>
        </w:rPr>
      </w:pPr>
      <w:r>
        <w:rPr>
          <w:rFonts w:hint="default"/>
        </w:rPr>
        <w:t>Sub-protocol 3: Preparation of Chitosan Nanoparticle-dsRNA Formulation (CS-dsRNA)</w:t>
      </w:r>
    </w:p>
    <w:p w14:paraId="7831030F">
      <w:pPr>
        <w:rPr>
          <w:rFonts w:hint="default"/>
        </w:rPr>
      </w:pPr>
      <w:r>
        <w:rPr>
          <w:rFonts w:hint="default"/>
        </w:rPr>
        <w:t>**[PROTOCOL_STAGE=FORMULATION_PREPARATION]**</w:t>
      </w:r>
    </w:p>
    <w:p w14:paraId="0F2DFEB8">
      <w:pPr>
        <w:rPr>
          <w:rFonts w:hint="default"/>
        </w:rPr>
      </w:pPr>
      <w:r>
        <w:rPr>
          <w:rFonts w:hint="default"/>
        </w:rPr>
        <w:t>$</w:t>
      </w:r>
    </w:p>
    <w:p w14:paraId="6E728ADA">
      <w:pPr>
        <w:rPr>
          <w:rFonts w:hint="default"/>
        </w:rPr>
      </w:pPr>
      <w:r>
        <w:rPr>
          <w:rFonts w:hint="default"/>
        </w:rPr>
        <w:t>Applicable when:</w:t>
      </w:r>
    </w:p>
    <w:p w14:paraId="4AB5BF6E">
      <w:pPr>
        <w:rPr>
          <w:rFonts w:hint="default"/>
        </w:rPr>
      </w:pPr>
      <w:r>
        <w:rPr>
          <w:rFonts w:hint="default"/>
        </w:rPr>
        <w:t>Encapsulating dsRNA to protect it from environmental degradation (UV, nucleases) and to potentially enhance cellular uptake.</w:t>
      </w:r>
    </w:p>
    <w:p w14:paraId="2F9CD975">
      <w:pPr>
        <w:rPr>
          <w:rFonts w:hint="default"/>
        </w:rPr>
      </w:pPr>
      <w:r>
        <w:rPr>
          <w:rFonts w:hint="default"/>
        </w:rPr>
        <w:t>$</w:t>
      </w:r>
    </w:p>
    <w:p w14:paraId="52DE099D">
      <w:pPr>
        <w:rPr>
          <w:rFonts w:hint="default"/>
        </w:rPr>
      </w:pPr>
      <w:r>
        <w:rPr>
          <w:rFonts w:hint="default"/>
        </w:rPr>
        <w:t>Purpose:</w:t>
      </w:r>
    </w:p>
    <w:p w14:paraId="7D7D8D57">
      <w:pPr>
        <w:rPr>
          <w:rFonts w:hint="default"/>
        </w:rPr>
      </w:pPr>
      <w:r>
        <w:rPr>
          <w:rFonts w:hint="default"/>
        </w:rPr>
        <w:t>To synthesize chitosan-dsRNA nanoparticles (CS-dsRNA) for improved stability and efficacy in foliar spray applications.</w:t>
      </w:r>
    </w:p>
    <w:p w14:paraId="65E7E2BE">
      <w:pPr>
        <w:rPr>
          <w:rFonts w:hint="default"/>
        </w:rPr>
      </w:pPr>
      <w:r>
        <w:rPr>
          <w:rFonts w:hint="default"/>
        </w:rPr>
        <w:t>$</w:t>
      </w:r>
    </w:p>
    <w:p w14:paraId="3A87F84F">
      <w:pPr>
        <w:rPr>
          <w:rFonts w:hint="default"/>
        </w:rPr>
      </w:pPr>
      <w:r>
        <w:rPr>
          <w:rFonts w:hint="default"/>
        </w:rPr>
        <w:t>Procedure:</w:t>
      </w:r>
    </w:p>
    <w:p w14:paraId="72242E66">
      <w:pPr>
        <w:rPr>
          <w:rFonts w:hint="default"/>
        </w:rPr>
      </w:pPr>
      <w:r>
        <w:rPr>
          <w:rFonts w:hint="default"/>
        </w:rPr>
        <w:t>1.  **Solution Preparation:**</w:t>
      </w:r>
    </w:p>
    <w:p w14:paraId="06051DFC">
      <w:pPr>
        <w:rPr>
          <w:rFonts w:hint="default"/>
        </w:rPr>
      </w:pPr>
      <w:r>
        <w:rPr>
          <w:rFonts w:hint="default"/>
        </w:rPr>
        <w:t xml:space="preserve">    - Prepare 0.1 M sodium acetate buffer (pH 4.5).</w:t>
      </w:r>
    </w:p>
    <w:p w14:paraId="19BA2260">
      <w:pPr>
        <w:rPr>
          <w:rFonts w:hint="default"/>
        </w:rPr>
      </w:pPr>
      <w:r>
        <w:rPr>
          <w:rFonts w:hint="default"/>
        </w:rPr>
        <w:t xml:space="preserve">    - Dissolve chitosan (≥75% deacetylated, from crab shells) in the sodium acetate buffer to make a stock solution. Keep at room temperature (RT).</w:t>
      </w:r>
    </w:p>
    <w:p w14:paraId="080EA9DD">
      <w:pPr>
        <w:rPr>
          <w:rFonts w:hint="default"/>
        </w:rPr>
      </w:pPr>
      <w:r>
        <w:rPr>
          <w:rFonts w:hint="default"/>
        </w:rPr>
        <w:t xml:space="preserve">    - Prepare a 100 mM sodium sulphate solution in deionized water.</w:t>
      </w:r>
    </w:p>
    <w:p w14:paraId="06687981">
      <w:pPr>
        <w:rPr>
          <w:rFonts w:hint="default"/>
        </w:rPr>
      </w:pPr>
      <w:r>
        <w:rPr>
          <w:rFonts w:hint="default"/>
        </w:rPr>
        <w:t>2.  **Nanoparticle Formation:**</w:t>
      </w:r>
    </w:p>
    <w:p w14:paraId="798F5821">
      <w:pPr>
        <w:rPr>
          <w:rFonts w:hint="default"/>
        </w:rPr>
      </w:pPr>
      <w:r>
        <w:rPr>
          <w:rFonts w:hint="default"/>
        </w:rPr>
        <w:t xml:space="preserve">    - In a tube, mix 50 µL of dsRNA solution with 100 µL of 100 mM sodium sulphate.</w:t>
      </w:r>
    </w:p>
    <w:p w14:paraId="3F943B43">
      <w:pPr>
        <w:rPr>
          <w:rFonts w:hint="default"/>
        </w:rPr>
      </w:pPr>
      <w:r>
        <w:rPr>
          <w:rFonts w:hint="default"/>
        </w:rPr>
        <w:t xml:space="preserve">    - Add 100 µL of the chitosan solution to the dsRNA/sodium sulphate mixture.</w:t>
      </w:r>
    </w:p>
    <w:p w14:paraId="75960C6D">
      <w:pPr>
        <w:rPr>
          <w:rFonts w:hint="default"/>
        </w:rPr>
      </w:pPr>
      <w:r>
        <w:rPr>
          <w:rFonts w:hint="default"/>
        </w:rPr>
        <w:t xml:space="preserve">    - Heat the mixture at 55°C for 1 minute.</w:t>
      </w:r>
    </w:p>
    <w:p w14:paraId="0B787DEC">
      <w:pPr>
        <w:rPr>
          <w:rFonts w:hint="default"/>
        </w:rPr>
      </w:pPr>
      <w:r>
        <w:rPr>
          <w:rFonts w:hint="default"/>
        </w:rPr>
        <w:t xml:space="preserve">    - Immediately vortex the mixture vigorously for 30 seconds to initiate nanoparticle formation.</w:t>
      </w:r>
    </w:p>
    <w:p w14:paraId="1DBB971B">
      <w:pPr>
        <w:rPr>
          <w:rFonts w:hint="default"/>
        </w:rPr>
      </w:pPr>
      <w:r>
        <w:rPr>
          <w:rFonts w:hint="default"/>
        </w:rPr>
        <w:t>3.  **Purification and Washing:**</w:t>
      </w:r>
    </w:p>
    <w:p w14:paraId="6527B3DF">
      <w:pPr>
        <w:rPr>
          <w:rFonts w:hint="default"/>
        </w:rPr>
      </w:pPr>
      <w:r>
        <w:rPr>
          <w:rFonts w:hint="default"/>
        </w:rPr>
        <w:t xml:space="preserve">    - Centrifuge the mixture at 14,000 x g for 10 minutes at RT.</w:t>
      </w:r>
    </w:p>
    <w:p w14:paraId="5F4D20AA">
      <w:pPr>
        <w:rPr>
          <w:rFonts w:hint="default"/>
        </w:rPr>
      </w:pPr>
      <w:r>
        <w:rPr>
          <w:rFonts w:hint="default"/>
        </w:rPr>
        <w:t xml:space="preserve">    - Carefully discard the supernatant.</w:t>
      </w:r>
    </w:p>
    <w:p w14:paraId="76383B90">
      <w:pPr>
        <w:rPr>
          <w:rFonts w:hint="default"/>
        </w:rPr>
      </w:pPr>
      <w:r>
        <w:rPr>
          <w:rFonts w:hint="default"/>
        </w:rPr>
        <w:t xml:space="preserve">    - Wash the pellet (nanoparticles) three times with deionized water, repeating the centrifugation step each time.</w:t>
      </w:r>
    </w:p>
    <w:p w14:paraId="339ECA4B">
      <w:pPr>
        <w:rPr>
          <w:rFonts w:hint="default"/>
        </w:rPr>
      </w:pPr>
      <w:r>
        <w:rPr>
          <w:rFonts w:hint="default"/>
        </w:rPr>
        <w:t>4.  **Resuspension and Storage:**</w:t>
      </w:r>
    </w:p>
    <w:p w14:paraId="70EF05DB">
      <w:pPr>
        <w:rPr>
          <w:rFonts w:hint="default"/>
        </w:rPr>
      </w:pPr>
      <w:r>
        <w:rPr>
          <w:rFonts w:hint="default"/>
        </w:rPr>
        <w:t xml:space="preserve">    - After the final wash, resuspend the final pellet in MilliQ ultrapure water.</w:t>
      </w:r>
    </w:p>
    <w:p w14:paraId="40711192">
      <w:pPr>
        <w:rPr>
          <w:rFonts w:hint="default"/>
        </w:rPr>
      </w:pPr>
      <w:r>
        <w:rPr>
          <w:rFonts w:hint="default"/>
        </w:rPr>
        <w:t xml:space="preserve">    - Sonicate the suspension for 5 minutes at 25°C using an ultrasonic liquid processor to ensure a homogeneous nanoparticle suspension.</w:t>
      </w:r>
    </w:p>
    <w:p w14:paraId="03750BFD">
      <w:pPr>
        <w:rPr>
          <w:rFonts w:hint="default"/>
        </w:rPr>
      </w:pPr>
      <w:r>
        <w:rPr>
          <w:rFonts w:hint="default"/>
        </w:rPr>
        <w:t xml:space="preserve">    - Use immediately or store appropriately for experiments.</w:t>
      </w:r>
    </w:p>
    <w:p w14:paraId="58FC18E3">
      <w:pPr>
        <w:rPr>
          <w:rFonts w:hint="default"/>
        </w:rPr>
      </w:pPr>
      <w:r>
        <w:rPr>
          <w:rFonts w:hint="default"/>
        </w:rPr>
        <w:t>5.  **Binding Affinity Check (Optional QC):** Run naked dsRNA and CS-dsRNA samples on a 1% agarose gel. The CS-dsRNA should show retarded or no migration due to nanoparticle formation and binding.</w:t>
      </w:r>
    </w:p>
    <w:p w14:paraId="1388FD9C">
      <w:pPr>
        <w:rPr>
          <w:rFonts w:hint="default"/>
        </w:rPr>
      </w:pPr>
      <w:r>
        <w:rPr>
          <w:rFonts w:hint="default"/>
        </w:rPr>
        <w:t>$</w:t>
      </w:r>
    </w:p>
    <w:p w14:paraId="7F9ECEF0">
      <w:pPr>
        <w:rPr>
          <w:rFonts w:hint="default"/>
        </w:rPr>
      </w:pPr>
      <w:r>
        <w:rPr>
          <w:rFonts w:hint="default"/>
        </w:rPr>
        <w:t>Key materials and equipment:</w:t>
      </w:r>
    </w:p>
    <w:p w14:paraId="2CECD03C">
      <w:pPr>
        <w:rPr>
          <w:rFonts w:hint="default"/>
        </w:rPr>
      </w:pPr>
      <w:r>
        <w:rPr>
          <w:rFonts w:hint="default"/>
        </w:rPr>
        <w:t>- Chitosan (≥75% deacetylated, Sigma-Aldrich)</w:t>
      </w:r>
    </w:p>
    <w:p w14:paraId="56874A64">
      <w:pPr>
        <w:rPr>
          <w:rFonts w:hint="default"/>
        </w:rPr>
      </w:pPr>
      <w:r>
        <w:rPr>
          <w:rFonts w:hint="default"/>
        </w:rPr>
        <w:t>- Sodium acetate, sodium sulphate</w:t>
      </w:r>
    </w:p>
    <w:p w14:paraId="372F2540">
      <w:pPr>
        <w:rPr>
          <w:rFonts w:hint="default"/>
        </w:rPr>
      </w:pPr>
      <w:r>
        <w:rPr>
          <w:rFonts w:hint="default"/>
        </w:rPr>
        <w:t>- Ultrasonic liquid processor (e.g., POWERSONIC 405)</w:t>
      </w:r>
    </w:p>
    <w:p w14:paraId="57069416">
      <w:pPr>
        <w:rPr>
          <w:rFonts w:hint="default"/>
        </w:rPr>
      </w:pPr>
      <w:r>
        <w:rPr>
          <w:rFonts w:hint="default"/>
        </w:rPr>
        <w:t>- Centrifuge capable of 14,000 x g</w:t>
      </w:r>
    </w:p>
    <w:p w14:paraId="5EA11888">
      <w:pPr>
        <w:rPr>
          <w:rFonts w:hint="default"/>
        </w:rPr>
      </w:pPr>
      <w:r>
        <w:rPr>
          <w:rFonts w:hint="default"/>
        </w:rPr>
        <w:t>- Vortex mixer</w:t>
      </w:r>
    </w:p>
    <w:p w14:paraId="69BB3807">
      <w:pPr>
        <w:rPr>
          <w:rFonts w:hint="default"/>
        </w:rPr>
      </w:pPr>
      <w:r>
        <w:rPr>
          <w:rFonts w:hint="default"/>
        </w:rPr>
        <w:t>- Heating block</w:t>
      </w:r>
    </w:p>
    <w:p w14:paraId="53B16F48">
      <w:pPr>
        <w:rPr>
          <w:rFonts w:hint="default"/>
        </w:rPr>
      </w:pPr>
      <w:r>
        <w:rPr>
          <w:rFonts w:hint="default"/>
        </w:rPr>
        <w:t>$</w:t>
      </w:r>
    </w:p>
    <w:p w14:paraId="3AE4B476">
      <w:pPr>
        <w:rPr>
          <w:rFonts w:hint="default"/>
        </w:rPr>
      </w:pPr>
      <w:r>
        <w:rPr>
          <w:rFonts w:hint="default"/>
        </w:rPr>
        <w:t>Controls_and_validation:</w:t>
      </w:r>
    </w:p>
    <w:p w14:paraId="213787B2">
      <w:pPr>
        <w:rPr>
          <w:rFonts w:hint="default"/>
        </w:rPr>
      </w:pPr>
      <w:r>
        <w:rPr>
          <w:rFonts w:hint="default"/>
        </w:rPr>
        <w:t>Naked dsRNA is the control for all downstream assays. Gel shift assay verifies successful complexation.</w:t>
      </w:r>
    </w:p>
    <w:p w14:paraId="5D363FF8">
      <w:pPr>
        <w:rPr>
          <w:rFonts w:hint="default"/>
        </w:rPr>
      </w:pPr>
      <w:r>
        <w:rPr>
          <w:rFonts w:hint="default"/>
        </w:rPr>
        <w:t>$</w:t>
      </w:r>
    </w:p>
    <w:p w14:paraId="4B2915D0">
      <w:pPr>
        <w:rPr>
          <w:rFonts w:hint="default"/>
        </w:rPr>
      </w:pPr>
      <w:r>
        <w:rPr>
          <w:rFonts w:hint="default"/>
        </w:rPr>
        <w:t>Notes</w:t>
      </w:r>
    </w:p>
    <w:p w14:paraId="77ED2533">
      <w:pPr>
        <w:rPr>
          <w:rFonts w:hint="default"/>
        </w:rPr>
      </w:pPr>
      <w:r>
        <w:rPr>
          <w:rFonts w:hint="default"/>
        </w:rPr>
        <w:t>The vortexing step after heating is critical for nanoparticle formation. The final sonication step is important to break up aggregates and create a uniform spray suspension. pH of the chitosan solution is crucial for its positive charge and complexation with negatively charged dsRNA.</w:t>
      </w:r>
    </w:p>
    <w:p w14:paraId="4F7ACEF8">
      <w:pPr>
        <w:rPr>
          <w:rFonts w:hint="default"/>
        </w:rPr>
      </w:pPr>
    </w:p>
    <w:p w14:paraId="1E69BF03">
      <w:pPr>
        <w:rPr>
          <w:rFonts w:hint="default"/>
        </w:rPr>
      </w:pPr>
      <w:r>
        <w:rPr>
          <w:rFonts w:hint="default"/>
        </w:rPr>
        <w:t>{}</w:t>
      </w:r>
    </w:p>
    <w:p w14:paraId="1247731A">
      <w:pPr>
        <w:rPr>
          <w:rFonts w:hint="default"/>
        </w:rPr>
      </w:pPr>
      <w:r>
        <w:rPr>
          <w:rFonts w:hint="default"/>
        </w:rPr>
        <w:t>$</w:t>
      </w:r>
    </w:p>
    <w:p w14:paraId="42D102C5">
      <w:pPr>
        <w:rPr>
          <w:rFonts w:hint="default"/>
        </w:rPr>
      </w:pPr>
      <w:r>
        <w:rPr>
          <w:rFonts w:hint="default"/>
        </w:rPr>
        <w:t>Sub-protocol 4: ex vivo Gut Content Nuclease Activity Assay</w:t>
      </w:r>
    </w:p>
    <w:p w14:paraId="5DBA5C37">
      <w:pPr>
        <w:rPr>
          <w:rFonts w:hint="default"/>
        </w:rPr>
      </w:pPr>
      <w:r>
        <w:rPr>
          <w:rFonts w:hint="default"/>
        </w:rPr>
        <w:t>**[PROTOCOL_STAGE=RNA_QUALITY_CONTROL]**</w:t>
      </w:r>
    </w:p>
    <w:p w14:paraId="5A8DE980">
      <w:pPr>
        <w:rPr>
          <w:rFonts w:hint="default"/>
        </w:rPr>
      </w:pPr>
      <w:r>
        <w:rPr>
          <w:rFonts w:hint="default"/>
        </w:rPr>
        <w:t>$</w:t>
      </w:r>
    </w:p>
    <w:p w14:paraId="5F8C4A31">
      <w:pPr>
        <w:rPr>
          <w:rFonts w:hint="default"/>
        </w:rPr>
      </w:pPr>
      <w:r>
        <w:rPr>
          <w:rFonts w:hint="default"/>
        </w:rPr>
        <w:t>Applicable when:</w:t>
      </w:r>
    </w:p>
    <w:p w14:paraId="624FCDC5">
      <w:pPr>
        <w:rPr>
          <w:rFonts w:hint="default"/>
        </w:rPr>
      </w:pPr>
      <w:r>
        <w:rPr>
          <w:rFonts w:hint="default"/>
        </w:rPr>
        <w:t>Investigating the cause of poor oral RNAi efficacy by assessing dsRNA degradation activity in the insect gut.</w:t>
      </w:r>
    </w:p>
    <w:p w14:paraId="202A39C2">
      <w:pPr>
        <w:rPr>
          <w:rFonts w:hint="default"/>
        </w:rPr>
      </w:pPr>
      <w:r>
        <w:rPr>
          <w:rFonts w:hint="default"/>
        </w:rPr>
        <w:t>$</w:t>
      </w:r>
    </w:p>
    <w:p w14:paraId="55433EE9">
      <w:pPr>
        <w:rPr>
          <w:rFonts w:hint="default"/>
        </w:rPr>
      </w:pPr>
      <w:r>
        <w:rPr>
          <w:rFonts w:hint="default"/>
        </w:rPr>
        <w:t>Purpose:</w:t>
      </w:r>
    </w:p>
    <w:p w14:paraId="51729ACC">
      <w:pPr>
        <w:rPr>
          <w:rFonts w:hint="default"/>
        </w:rPr>
      </w:pPr>
      <w:r>
        <w:rPr>
          <w:rFonts w:hint="default"/>
        </w:rPr>
        <w:t>To quantify the dsRNA-degrading nuclease activity present in the gut lumen of thrips and to test the protective effect of formulations.</w:t>
      </w:r>
    </w:p>
    <w:p w14:paraId="4038D3C5">
      <w:pPr>
        <w:rPr>
          <w:rFonts w:hint="default"/>
        </w:rPr>
      </w:pPr>
      <w:r>
        <w:rPr>
          <w:rFonts w:hint="default"/>
        </w:rPr>
        <w:t>$</w:t>
      </w:r>
    </w:p>
    <w:p w14:paraId="5AF4CFEF">
      <w:pPr>
        <w:rPr>
          <w:rFonts w:hint="default"/>
        </w:rPr>
      </w:pPr>
      <w:r>
        <w:rPr>
          <w:rFonts w:hint="default"/>
        </w:rPr>
        <w:t>Procedure:</w:t>
      </w:r>
    </w:p>
    <w:p w14:paraId="27D3FE85">
      <w:pPr>
        <w:rPr>
          <w:rFonts w:hint="default"/>
        </w:rPr>
      </w:pPr>
      <w:r>
        <w:rPr>
          <w:rFonts w:hint="default"/>
        </w:rPr>
        <w:t>1.  **Gut Content Extraction:**</w:t>
      </w:r>
    </w:p>
    <w:p w14:paraId="5BC3BF93">
      <w:pPr>
        <w:rPr>
          <w:rFonts w:hint="default"/>
        </w:rPr>
      </w:pPr>
      <w:r>
        <w:rPr>
          <w:rFonts w:hint="default"/>
        </w:rPr>
        <w:t xml:space="preserve">    - Collect adult thrips (&lt;3 days old). Immerse in PBS with 0.05% Triton-X for 10 minutes to soften cuticle.</w:t>
      </w:r>
    </w:p>
    <w:p w14:paraId="4D331585">
      <w:pPr>
        <w:rPr>
          <w:rFonts w:hint="default"/>
        </w:rPr>
      </w:pPr>
      <w:r>
        <w:rPr>
          <w:rFonts w:hint="default"/>
        </w:rPr>
        <w:t xml:space="preserve">    - Place a thrips on a slide. Using fine needles, detach the abdominal tip while holding the head.</w:t>
      </w:r>
    </w:p>
    <w:p w14:paraId="7DE002BE">
      <w:pPr>
        <w:rPr>
          <w:rFonts w:hint="default"/>
        </w:rPr>
      </w:pPr>
      <w:r>
        <w:rPr>
          <w:rFonts w:hint="default"/>
        </w:rPr>
        <w:t xml:space="preserve">    - Excise the head and abdominal tips, releasing the intact gut. Transfer the gut to a microtube containing nuclease-free PBS.</w:t>
      </w:r>
    </w:p>
    <w:p w14:paraId="5DAFE7F4">
      <w:pPr>
        <w:rPr>
          <w:rFonts w:hint="default"/>
        </w:rPr>
      </w:pPr>
      <w:r>
        <w:rPr>
          <w:rFonts w:hint="default"/>
        </w:rPr>
        <w:t xml:space="preserve">    - Pool guts from 25 thrips into 50 µL PBS.</w:t>
      </w:r>
    </w:p>
    <w:p w14:paraId="75682319">
      <w:pPr>
        <w:rPr>
          <w:rFonts w:hint="default"/>
        </w:rPr>
      </w:pPr>
      <w:r>
        <w:rPr>
          <w:rFonts w:hint="default"/>
        </w:rPr>
        <w:t xml:space="preserve">    - Vortex the tube for 5 minutes to extract gut contents. The supernatant is the "gut content" extract.</w:t>
      </w:r>
    </w:p>
    <w:p w14:paraId="00F45369">
      <w:pPr>
        <w:rPr>
          <w:rFonts w:hint="default"/>
        </w:rPr>
      </w:pPr>
      <w:r>
        <w:rPr>
          <w:rFonts w:hint="default"/>
        </w:rPr>
        <w:t>2.  **Nuclease Reaction Setup:**</w:t>
      </w:r>
    </w:p>
    <w:p w14:paraId="038A79C2">
      <w:pPr>
        <w:rPr>
          <w:rFonts w:hint="default"/>
        </w:rPr>
      </w:pPr>
      <w:r>
        <w:rPr>
          <w:rFonts w:hint="default"/>
        </w:rPr>
        <w:t xml:space="preserve">    - Prepare reactions in a total volume of 20 µL: 10 µL of gut content extract + 10 µL of dsRNA (500 ng/µL).</w:t>
      </w:r>
    </w:p>
    <w:p w14:paraId="764F27D2">
      <w:pPr>
        <w:rPr>
          <w:rFonts w:hint="default"/>
        </w:rPr>
      </w:pPr>
      <w:r>
        <w:rPr>
          <w:rFonts w:hint="default"/>
        </w:rPr>
        <w:t xml:space="preserve">    - For a heat-inactivation control, pre-treat a separate aliquot of gut extract at 95°C for 15 minutes before adding dsRNA.</w:t>
      </w:r>
    </w:p>
    <w:p w14:paraId="63620452">
      <w:pPr>
        <w:rPr>
          <w:rFonts w:hint="default"/>
        </w:rPr>
      </w:pPr>
      <w:r>
        <w:rPr>
          <w:rFonts w:hint="default"/>
        </w:rPr>
        <w:t>3.  **Incubation and Sampling:** Incubate reaction mixtures at room temperature. Remove 5-10 µL aliquots at time points: 0, 5, 10, 30, and 60 minutes.</w:t>
      </w:r>
    </w:p>
    <w:p w14:paraId="48839033">
      <w:pPr>
        <w:rPr>
          <w:rFonts w:hint="default"/>
        </w:rPr>
      </w:pPr>
      <w:r>
        <w:rPr>
          <w:rFonts w:hint="default"/>
        </w:rPr>
        <w:t>4.  **Reaction Stop &amp; Analysis:** Immediately analyze aliquots by agarose gel electrophoresis (1-1.5% gel). Visualize intact dsRNA bands versus degradation smearing/loss.</w:t>
      </w:r>
    </w:p>
    <w:p w14:paraId="2D294A93">
      <w:pPr>
        <w:rPr>
          <w:rFonts w:hint="default"/>
        </w:rPr>
      </w:pPr>
      <w:r>
        <w:rPr>
          <w:rFonts w:hint="default"/>
        </w:rPr>
        <w:t>5.  **Formulation Protection Test (Optional):** Repeat the assay using CS-dsRNA formulation instead of naked dsRNA to assess protection.</w:t>
      </w:r>
    </w:p>
    <w:p w14:paraId="61759AD6">
      <w:pPr>
        <w:rPr>
          <w:rFonts w:hint="default"/>
        </w:rPr>
      </w:pPr>
      <w:r>
        <w:rPr>
          <w:rFonts w:hint="default"/>
        </w:rPr>
        <w:t>$</w:t>
      </w:r>
    </w:p>
    <w:p w14:paraId="06536DC1">
      <w:pPr>
        <w:rPr>
          <w:rFonts w:hint="default"/>
        </w:rPr>
      </w:pPr>
      <w:r>
        <w:rPr>
          <w:rFonts w:hint="default"/>
        </w:rPr>
        <w:t>Key materials and equipment:</w:t>
      </w:r>
    </w:p>
    <w:p w14:paraId="35A1D3B9">
      <w:pPr>
        <w:rPr>
          <w:rFonts w:hint="default"/>
        </w:rPr>
      </w:pPr>
      <w:r>
        <w:rPr>
          <w:rFonts w:hint="default"/>
        </w:rPr>
        <w:t>- Adult Frankliniella occidentalis (&lt;3 days old)</w:t>
      </w:r>
    </w:p>
    <w:p w14:paraId="118CAD23">
      <w:pPr>
        <w:rPr>
          <w:rFonts w:hint="default"/>
        </w:rPr>
      </w:pPr>
      <w:r>
        <w:rPr>
          <w:rFonts w:hint="default"/>
        </w:rPr>
        <w:t>- Fine needles and microscope for dissection</w:t>
      </w:r>
    </w:p>
    <w:p w14:paraId="056BC3DC">
      <w:pPr>
        <w:rPr>
          <w:rFonts w:hint="default"/>
        </w:rPr>
      </w:pPr>
      <w:r>
        <w:rPr>
          <w:rFonts w:hint="default"/>
        </w:rPr>
        <w:t>- Phosphate-buffered saline (PBS)</w:t>
      </w:r>
    </w:p>
    <w:p w14:paraId="0F749C22">
      <w:pPr>
        <w:rPr>
          <w:rFonts w:hint="default"/>
        </w:rPr>
      </w:pPr>
      <w:r>
        <w:rPr>
          <w:rFonts w:hint="default"/>
        </w:rPr>
        <w:t>- Triton-X 100</w:t>
      </w:r>
    </w:p>
    <w:p w14:paraId="5367BEB9">
      <w:pPr>
        <w:rPr>
          <w:rFonts w:hint="default"/>
        </w:rPr>
      </w:pPr>
      <w:r>
        <w:rPr>
          <w:rFonts w:hint="default"/>
        </w:rPr>
        <w:t>- Vortex mixer</w:t>
      </w:r>
    </w:p>
    <w:p w14:paraId="176DF57C">
      <w:pPr>
        <w:rPr>
          <w:rFonts w:hint="default"/>
        </w:rPr>
      </w:pPr>
      <w:r>
        <w:rPr>
          <w:rFonts w:hint="default"/>
        </w:rPr>
        <w:t>- Heating block (95°C)</w:t>
      </w:r>
    </w:p>
    <w:p w14:paraId="37C0F296">
      <w:pPr>
        <w:rPr>
          <w:rFonts w:hint="default"/>
        </w:rPr>
      </w:pPr>
      <w:r>
        <w:rPr>
          <w:rFonts w:hint="default"/>
        </w:rPr>
        <w:t>- Agarose gel electrophoresis system</w:t>
      </w:r>
    </w:p>
    <w:p w14:paraId="566DD508">
      <w:pPr>
        <w:rPr>
          <w:rFonts w:hint="default"/>
        </w:rPr>
      </w:pPr>
      <w:r>
        <w:rPr>
          <w:rFonts w:hint="default"/>
        </w:rPr>
        <w:t>$</w:t>
      </w:r>
    </w:p>
    <w:p w14:paraId="06E7B6E3">
      <w:pPr>
        <w:rPr>
          <w:rFonts w:hint="default"/>
        </w:rPr>
      </w:pPr>
      <w:r>
        <w:rPr>
          <w:rFonts w:hint="default"/>
        </w:rPr>
        <w:t>Controls_and_validation:</w:t>
      </w:r>
    </w:p>
    <w:p w14:paraId="5FD091AA">
      <w:pPr>
        <w:rPr>
          <w:rFonts w:hint="default"/>
        </w:rPr>
      </w:pPr>
      <w:r>
        <w:rPr>
          <w:rFonts w:hint="default"/>
        </w:rPr>
        <w:t>The 0-minute time point shows initial dsRNA integrity. The heat-inactivated gut content control confirms that degradation is enzymatic.</w:t>
      </w:r>
    </w:p>
    <w:p w14:paraId="6E272C7A">
      <w:pPr>
        <w:rPr>
          <w:rFonts w:hint="default"/>
        </w:rPr>
      </w:pPr>
      <w:r>
        <w:rPr>
          <w:rFonts w:hint="default"/>
        </w:rPr>
        <w:t>$</w:t>
      </w:r>
    </w:p>
    <w:p w14:paraId="1A536609">
      <w:pPr>
        <w:rPr>
          <w:rFonts w:hint="default"/>
        </w:rPr>
      </w:pPr>
      <w:r>
        <w:rPr>
          <w:rFonts w:hint="default"/>
        </w:rPr>
        <w:t>Notes</w:t>
      </w:r>
    </w:p>
    <w:p w14:paraId="0A896036">
      <w:pPr>
        <w:rPr>
          <w:rFonts w:hint="default"/>
        </w:rPr>
      </w:pPr>
      <w:r>
        <w:rPr>
          <w:rFonts w:hint="default"/>
        </w:rPr>
        <w:t>This is a direct, functional assay for a major RNAi barrier. The dissection is delicate due to insect size. Pooling is necessary to obtain sufficient enzymatic activity.</w:t>
      </w:r>
    </w:p>
    <w:p w14:paraId="6B02C663">
      <w:pPr>
        <w:rPr>
          <w:rFonts w:hint="default"/>
        </w:rPr>
      </w:pPr>
    </w:p>
    <w:p w14:paraId="7FF7787E">
      <w:pPr>
        <w:rPr>
          <w:rFonts w:hint="default"/>
        </w:rPr>
      </w:pPr>
      <w:r>
        <w:rPr>
          <w:rFonts w:hint="default"/>
        </w:rPr>
        <w:t>{}</w:t>
      </w:r>
    </w:p>
    <w:p w14:paraId="4553398E">
      <w:pPr>
        <w:rPr>
          <w:rFonts w:hint="default"/>
        </w:rPr>
      </w:pPr>
      <w:r>
        <w:rPr>
          <w:rFonts w:hint="default"/>
        </w:rPr>
        <w:t>$</w:t>
      </w:r>
    </w:p>
    <w:p w14:paraId="27E1C245">
      <w:pPr>
        <w:rPr>
          <w:rFonts w:hint="default"/>
        </w:rPr>
      </w:pPr>
      <w:r>
        <w:rPr>
          <w:rFonts w:hint="default"/>
        </w:rPr>
        <w:t>Sub-protocol 5: Laboratory Feeding Bioassay with Soaked Diet</w:t>
      </w:r>
    </w:p>
    <w:p w14:paraId="59BEC533">
      <w:pPr>
        <w:rPr>
          <w:rFonts w:hint="default"/>
        </w:rPr>
      </w:pPr>
      <w:r>
        <w:rPr>
          <w:rFonts w:hint="default"/>
        </w:rPr>
        <w:t>**[PROTOCOL_STAGE=IN_VIVO_DELIVERY_FEEDING]**</w:t>
      </w:r>
    </w:p>
    <w:p w14:paraId="1045A6EF">
      <w:pPr>
        <w:rPr>
          <w:rFonts w:hint="default"/>
        </w:rPr>
      </w:pPr>
      <w:r>
        <w:rPr>
          <w:rFonts w:hint="default"/>
        </w:rPr>
        <w:t>$</w:t>
      </w:r>
    </w:p>
    <w:p w14:paraId="3F98CF2F">
      <w:pPr>
        <w:rPr>
          <w:rFonts w:hint="default"/>
        </w:rPr>
      </w:pPr>
      <w:r>
        <w:rPr>
          <w:rFonts w:hint="default"/>
        </w:rPr>
        <w:t>Applicable when:</w:t>
      </w:r>
    </w:p>
    <w:p w14:paraId="43D4D9AC">
      <w:pPr>
        <w:rPr>
          <w:rFonts w:hint="default"/>
        </w:rPr>
      </w:pPr>
      <w:r>
        <w:rPr>
          <w:rFonts w:hint="default"/>
        </w:rPr>
        <w:t>Rapidly screening dsRNA insecticidal activity or comparing efficacy of naked vs. formulated dsRNA against thrips in a controlled lab setting.</w:t>
      </w:r>
    </w:p>
    <w:p w14:paraId="1697ED02">
      <w:pPr>
        <w:rPr>
          <w:rFonts w:hint="default"/>
        </w:rPr>
      </w:pPr>
      <w:r>
        <w:rPr>
          <w:rFonts w:hint="default"/>
        </w:rPr>
        <w:t>$</w:t>
      </w:r>
    </w:p>
    <w:p w14:paraId="7FC63A55">
      <w:pPr>
        <w:rPr>
          <w:rFonts w:hint="default"/>
        </w:rPr>
      </w:pPr>
      <w:r>
        <w:rPr>
          <w:rFonts w:hint="default"/>
        </w:rPr>
        <w:t>Purpose:</w:t>
      </w:r>
    </w:p>
    <w:p w14:paraId="0148A461">
      <w:pPr>
        <w:rPr>
          <w:rFonts w:hint="default"/>
        </w:rPr>
      </w:pPr>
      <w:r>
        <w:rPr>
          <w:rFonts w:hint="default"/>
        </w:rPr>
        <w:t>To assess mortality caused by ingestion of dsRNA delivered via a treated diet.</w:t>
      </w:r>
    </w:p>
    <w:p w14:paraId="39BC069E">
      <w:pPr>
        <w:rPr>
          <w:rFonts w:hint="default"/>
        </w:rPr>
      </w:pPr>
      <w:r>
        <w:rPr>
          <w:rFonts w:hint="default"/>
        </w:rPr>
        <w:t>$</w:t>
      </w:r>
    </w:p>
    <w:p w14:paraId="2000F151">
      <w:pPr>
        <w:rPr>
          <w:rFonts w:hint="default"/>
        </w:rPr>
      </w:pPr>
      <w:r>
        <w:rPr>
          <w:rFonts w:hint="default"/>
        </w:rPr>
        <w:t>Procedure:</w:t>
      </w:r>
    </w:p>
    <w:p w14:paraId="3E2FE31D">
      <w:pPr>
        <w:rPr>
          <w:rFonts w:hint="default"/>
        </w:rPr>
      </w:pPr>
      <w:r>
        <w:rPr>
          <w:rFonts w:hint="default"/>
        </w:rPr>
        <w:t>1.  **Diet Treatment:** For thrips, soak germinated kidney beans (F. occidentalis, F. intonsa) or pieces of Welsh onion leaf (T. tabaci) in a suspension of dsRNA (naked or CS-formulated) for 20 minutes. For the non-target S. exigua, apply dsRNA suspension to the surface of artificial diet cubes. Use a concentration of 500 ppm (µg/mL) as a standard test dose.</w:t>
      </w:r>
    </w:p>
    <w:p w14:paraId="0DB24993">
      <w:pPr>
        <w:rPr>
          <w:rFonts w:hint="default"/>
        </w:rPr>
      </w:pPr>
      <w:r>
        <w:rPr>
          <w:rFonts w:hint="default"/>
        </w:rPr>
        <w:t>2.  **Drying:** Air-dry the treated diet pieces.</w:t>
      </w:r>
    </w:p>
    <w:p w14:paraId="1EF8A0C0">
      <w:pPr>
        <w:rPr>
          <w:rFonts w:hint="default"/>
        </w:rPr>
      </w:pPr>
      <w:r>
        <w:rPr>
          <w:rFonts w:hint="default"/>
        </w:rPr>
        <w:t>3.  **Insect Introduction:** Place 10 insects (larvae or adults, as required) into a breeding dish (100 x 40 mm). Introduce the treated diet piece into the dish.</w:t>
      </w:r>
    </w:p>
    <w:p w14:paraId="73D9FBE6">
      <w:pPr>
        <w:rPr>
          <w:rFonts w:hint="default"/>
        </w:rPr>
      </w:pPr>
      <w:r>
        <w:rPr>
          <w:rFonts w:hint="default"/>
        </w:rPr>
        <w:t>4.  **Exposure Period:** Allow insects to feed on the treated diet for 24 hours.</w:t>
      </w:r>
    </w:p>
    <w:p w14:paraId="319DEB52">
      <w:pPr>
        <w:rPr>
          <w:rFonts w:hint="default"/>
        </w:rPr>
      </w:pPr>
      <w:r>
        <w:rPr>
          <w:rFonts w:hint="default"/>
        </w:rPr>
        <w:t>5.  **Post-Exposure Maintenance:** After 24 hours, remove the treated diet and provide a fresh, untreated diet.</w:t>
      </w:r>
    </w:p>
    <w:p w14:paraId="09459B78">
      <w:pPr>
        <w:rPr>
          <w:rFonts w:hint="default"/>
        </w:rPr>
      </w:pPr>
      <w:r>
        <w:rPr>
          <w:rFonts w:hint="default"/>
        </w:rPr>
        <w:t>6.  **Monitoring:** Maintain insects under standard rearing conditions. Record the number of dead insects at 7 days after treatment (DAT).</w:t>
      </w:r>
    </w:p>
    <w:p w14:paraId="5A71BAAB">
      <w:pPr>
        <w:rPr>
          <w:rFonts w:hint="default"/>
        </w:rPr>
      </w:pPr>
      <w:r>
        <w:rPr>
          <w:rFonts w:hint="default"/>
        </w:rPr>
        <w:t>7.  **Controls:** Include a negative control treated with dsCON (e.g., dsRNA targeting an irrelevant viral gene, CpBV302) and a water-only control.</w:t>
      </w:r>
    </w:p>
    <w:p w14:paraId="466BE687">
      <w:pPr>
        <w:rPr>
          <w:rFonts w:hint="default"/>
        </w:rPr>
      </w:pPr>
      <w:r>
        <w:rPr>
          <w:rFonts w:hint="default"/>
        </w:rPr>
        <w:t>8.  **Replication:** Perform each treatment with three independent biological replicates (10 insects each).</w:t>
      </w:r>
    </w:p>
    <w:p w14:paraId="70FB0D32">
      <w:pPr>
        <w:rPr>
          <w:rFonts w:hint="default"/>
        </w:rPr>
      </w:pPr>
      <w:r>
        <w:rPr>
          <w:rFonts w:hint="default"/>
        </w:rPr>
        <w:t>$</w:t>
      </w:r>
    </w:p>
    <w:p w14:paraId="2D6BDE10">
      <w:pPr>
        <w:rPr>
          <w:rFonts w:hint="default"/>
        </w:rPr>
      </w:pPr>
      <w:r>
        <w:rPr>
          <w:rFonts w:hint="default"/>
        </w:rPr>
        <w:t>Key materials and equipment:</w:t>
      </w:r>
    </w:p>
    <w:p w14:paraId="27371C31">
      <w:pPr>
        <w:rPr>
          <w:rFonts w:hint="default"/>
        </w:rPr>
      </w:pPr>
      <w:r>
        <w:rPr>
          <w:rFonts w:hint="default"/>
        </w:rPr>
        <w:t>- Germinated kidney beans or Welsh onion leaves</w:t>
      </w:r>
    </w:p>
    <w:p w14:paraId="50EB40C8">
      <w:pPr>
        <w:rPr>
          <w:rFonts w:hint="default"/>
        </w:rPr>
      </w:pPr>
      <w:r>
        <w:rPr>
          <w:rFonts w:hint="default"/>
        </w:rPr>
        <w:t>- Artificial diet (for S. exigua)</w:t>
      </w:r>
    </w:p>
    <w:p w14:paraId="3CE76BA6">
      <w:pPr>
        <w:rPr>
          <w:rFonts w:hint="default"/>
        </w:rPr>
      </w:pPr>
      <w:r>
        <w:rPr>
          <w:rFonts w:hint="default"/>
        </w:rPr>
        <w:t>- Breeding dishes (100 x 40 mm)</w:t>
      </w:r>
    </w:p>
    <w:p w14:paraId="1488DFE9">
      <w:pPr>
        <w:rPr>
          <w:rFonts w:hint="default"/>
        </w:rPr>
      </w:pPr>
      <w:r>
        <w:rPr>
          <w:rFonts w:hint="default"/>
        </w:rPr>
        <w:t>- Climate-controlled rearing chamber</w:t>
      </w:r>
    </w:p>
    <w:p w14:paraId="0EA09239">
      <w:pPr>
        <w:rPr>
          <w:rFonts w:hint="default"/>
        </w:rPr>
      </w:pPr>
      <w:r>
        <w:rPr>
          <w:rFonts w:hint="default"/>
        </w:rPr>
        <w:t>$</w:t>
      </w:r>
    </w:p>
    <w:p w14:paraId="1FD9B158">
      <w:pPr>
        <w:rPr>
          <w:rFonts w:hint="default"/>
        </w:rPr>
      </w:pPr>
      <w:r>
        <w:rPr>
          <w:rFonts w:hint="default"/>
        </w:rPr>
        <w:t>Controls_and_validation:</w:t>
      </w:r>
    </w:p>
    <w:p w14:paraId="50F673E5">
      <w:pPr>
        <w:rPr>
          <w:rFonts w:hint="default"/>
        </w:rPr>
      </w:pPr>
      <w:r>
        <w:rPr>
          <w:rFonts w:hint="default"/>
        </w:rPr>
        <w:t>The dsCON treatment controls for any non-sequence-specific effects of dsRNA ingestion. The 7-day endpoint captures both rapid and slower-acting mortality.</w:t>
      </w:r>
    </w:p>
    <w:p w14:paraId="1AB85F6A">
      <w:pPr>
        <w:rPr>
          <w:rFonts w:hint="default"/>
        </w:rPr>
      </w:pPr>
      <w:r>
        <w:rPr>
          <w:rFonts w:hint="default"/>
        </w:rPr>
        <w:t>$</w:t>
      </w:r>
    </w:p>
    <w:p w14:paraId="2B2A478E">
      <w:pPr>
        <w:rPr>
          <w:rFonts w:hint="default"/>
        </w:rPr>
      </w:pPr>
      <w:r>
        <w:rPr>
          <w:rFonts w:hint="default"/>
        </w:rPr>
        <w:t>Notes</w:t>
      </w:r>
    </w:p>
    <w:p w14:paraId="29C9B75A">
      <w:pPr>
        <w:rPr>
          <w:rFonts w:hint="default"/>
        </w:rPr>
      </w:pPr>
      <w:r>
        <w:rPr>
          <w:rFonts w:hint="default"/>
        </w:rPr>
        <w:t>The 20-minute soaking is a simple and effective method for diet contamination. The assay is suitable for high-throughput screening of different dsRNAs or formulations.</w:t>
      </w:r>
    </w:p>
    <w:p w14:paraId="6A79B612">
      <w:pPr>
        <w:rPr>
          <w:rFonts w:hint="default"/>
        </w:rPr>
      </w:pPr>
    </w:p>
    <w:p w14:paraId="6C28B86B">
      <w:pPr>
        <w:rPr>
          <w:rFonts w:hint="default"/>
        </w:rPr>
      </w:pPr>
      <w:r>
        <w:rPr>
          <w:rFonts w:hint="default"/>
        </w:rPr>
        <w:t>{}</w:t>
      </w:r>
    </w:p>
    <w:p w14:paraId="148CC3BD">
      <w:pPr>
        <w:rPr>
          <w:rFonts w:hint="default"/>
        </w:rPr>
      </w:pPr>
      <w:r>
        <w:rPr>
          <w:rFonts w:hint="default"/>
        </w:rPr>
        <w:t>$</w:t>
      </w:r>
    </w:p>
    <w:p w14:paraId="753293E1">
      <w:pPr>
        <w:rPr>
          <w:rFonts w:hint="default"/>
        </w:rPr>
      </w:pPr>
      <w:r>
        <w:rPr>
          <w:rFonts w:hint="default"/>
        </w:rPr>
        <w:t>Sub-protocol 6: Greenhouse Spray Application and Efficacy Trial</w:t>
      </w:r>
    </w:p>
    <w:p w14:paraId="6EBC63ED">
      <w:pPr>
        <w:rPr>
          <w:rFonts w:hint="default"/>
        </w:rPr>
      </w:pPr>
      <w:r>
        <w:rPr>
          <w:rFonts w:hint="default"/>
        </w:rPr>
        <w:t>**[PROTOCOL_STAGE=IN_VIVO_DELIVERY_SPRAY]**</w:t>
      </w:r>
    </w:p>
    <w:p w14:paraId="2CC60C14">
      <w:pPr>
        <w:rPr>
          <w:rFonts w:hint="default"/>
        </w:rPr>
      </w:pPr>
      <w:r>
        <w:rPr>
          <w:rFonts w:hint="default"/>
        </w:rPr>
        <w:t>$</w:t>
      </w:r>
    </w:p>
    <w:p w14:paraId="58F1EA8B">
      <w:pPr>
        <w:rPr>
          <w:rFonts w:hint="default"/>
        </w:rPr>
      </w:pPr>
      <w:r>
        <w:rPr>
          <w:rFonts w:hint="default"/>
        </w:rPr>
        <w:t>Applicable when:</w:t>
      </w:r>
    </w:p>
    <w:p w14:paraId="3038F669">
      <w:pPr>
        <w:rPr>
          <w:rFonts w:hint="default"/>
        </w:rPr>
      </w:pPr>
      <w:r>
        <w:rPr>
          <w:rFonts w:hint="default"/>
        </w:rPr>
        <w:t>Evaluating the real-world performance and persistence of naked and formulated dsRNA sprays under protected (greenhouse) conditions.</w:t>
      </w:r>
    </w:p>
    <w:p w14:paraId="0A8AC49C">
      <w:pPr>
        <w:rPr>
          <w:rFonts w:hint="default"/>
        </w:rPr>
      </w:pPr>
      <w:r>
        <w:rPr>
          <w:rFonts w:hint="default"/>
        </w:rPr>
        <w:t>$</w:t>
      </w:r>
    </w:p>
    <w:p w14:paraId="62DD9CAF">
      <w:pPr>
        <w:rPr>
          <w:rFonts w:hint="default"/>
        </w:rPr>
      </w:pPr>
      <w:r>
        <w:rPr>
          <w:rFonts w:hint="default"/>
        </w:rPr>
        <w:t>Purpose:</w:t>
      </w:r>
    </w:p>
    <w:p w14:paraId="78766B12">
      <w:pPr>
        <w:rPr>
          <w:rFonts w:hint="default"/>
        </w:rPr>
      </w:pPr>
      <w:r>
        <w:rPr>
          <w:rFonts w:hint="default"/>
        </w:rPr>
        <w:t>To compare the pest control efficacy of chitosan-formulated dsRNA versus naked dsRNA in a simulated crop environment.</w:t>
      </w:r>
    </w:p>
    <w:p w14:paraId="224AB2B4">
      <w:pPr>
        <w:rPr>
          <w:rFonts w:hint="default"/>
        </w:rPr>
      </w:pPr>
      <w:r>
        <w:rPr>
          <w:rFonts w:hint="default"/>
        </w:rPr>
        <w:t>$</w:t>
      </w:r>
    </w:p>
    <w:p w14:paraId="0BF71410">
      <w:pPr>
        <w:rPr>
          <w:rFonts w:hint="default"/>
        </w:rPr>
      </w:pPr>
      <w:r>
        <w:rPr>
          <w:rFonts w:hint="default"/>
        </w:rPr>
        <w:t>Procedure:</w:t>
      </w:r>
    </w:p>
    <w:p w14:paraId="71A8EF12">
      <w:pPr>
        <w:rPr>
          <w:rFonts w:hint="default"/>
        </w:rPr>
      </w:pPr>
      <w:r>
        <w:rPr>
          <w:rFonts w:hint="default"/>
        </w:rPr>
        <w:t>1.  **Greenhouse Setup:** Arrange young hot pepper plants (height ~30 cm) in five rows with 50 cm between rows and 40 cm between plants within a row. This spacing minimizes thrips migration between experimental units.</w:t>
      </w:r>
    </w:p>
    <w:p w14:paraId="1CE8158D">
      <w:pPr>
        <w:rPr>
          <w:rFonts w:hint="default"/>
        </w:rPr>
      </w:pPr>
      <w:r>
        <w:rPr>
          <w:rFonts w:hint="default"/>
        </w:rPr>
        <w:t>2.  **Infestation:** Prior to treatment, artificially infest each plant with a population of 80-90 F. occidentalis.</w:t>
      </w:r>
    </w:p>
    <w:p w14:paraId="189FE79D">
      <w:pPr>
        <w:rPr>
          <w:rFonts w:hint="default"/>
        </w:rPr>
      </w:pPr>
      <w:r>
        <w:rPr>
          <w:rFonts w:hint="default"/>
        </w:rPr>
        <w:t>3.  **Treatment Preparation:** Prepare spray solutions of naked dsRNA and CS-dsRNA at a concentration of 500 µg/mL (500 ppm) in water. Prepare a water-only spray as control.</w:t>
      </w:r>
    </w:p>
    <w:p w14:paraId="3192DCEF">
      <w:pPr>
        <w:rPr>
          <w:rFonts w:hint="default"/>
        </w:rPr>
      </w:pPr>
      <w:r>
        <w:rPr>
          <w:rFonts w:hint="default"/>
        </w:rPr>
        <w:t>4.  **Experimental Design:** Arrange treatments in a Randomized Block Design (RBD) with three blocks (replicates). Each treatment (naked dsRNA, CS-dsRNA, water) is randomly assigned within each block.</w:t>
      </w:r>
    </w:p>
    <w:p w14:paraId="51F16699">
      <w:pPr>
        <w:rPr>
          <w:rFonts w:hint="default"/>
        </w:rPr>
      </w:pPr>
      <w:r>
        <w:rPr>
          <w:rFonts w:hint="default"/>
        </w:rPr>
        <w:t>5.  **Spray Application:** Apply approximately 6.5 mL of the appropriate spray solution to each plant using a hand-held sprayer, ensuring thorough coverage of foliage.</w:t>
      </w:r>
    </w:p>
    <w:p w14:paraId="7754B75D">
      <w:pPr>
        <w:rPr>
          <w:rFonts w:hint="default"/>
        </w:rPr>
      </w:pPr>
      <w:r>
        <w:rPr>
          <w:rFonts w:hint="default"/>
        </w:rPr>
        <w:t>6.  **Post-Application Monitoring:** Maintain standard greenhouse conditions. Do not apply any other pest control measures.</w:t>
      </w:r>
    </w:p>
    <w:p w14:paraId="29E8F0FE">
      <w:pPr>
        <w:rPr>
          <w:rFonts w:hint="default"/>
        </w:rPr>
      </w:pPr>
      <w:r>
        <w:rPr>
          <w:rFonts w:hint="default"/>
        </w:rPr>
        <w:t>7.  **Efficacy Assessment:** At a defined interval (e.g., 7 DAT), assess the number of live thrips remaining on each plant or estimate percent control efficacy relative to the water-treated control.</w:t>
      </w:r>
    </w:p>
    <w:p w14:paraId="0C1C1593">
      <w:pPr>
        <w:rPr>
          <w:rFonts w:hint="default"/>
        </w:rPr>
      </w:pPr>
      <w:r>
        <w:rPr>
          <w:rFonts w:hint="default"/>
        </w:rPr>
        <w:t>8.  **Data Analysis:** Analyze mortality/control efficacy data using ANOVA based on the RBD, with mean separation by LSD test.</w:t>
      </w:r>
    </w:p>
    <w:p w14:paraId="548E75EB">
      <w:pPr>
        <w:rPr>
          <w:rFonts w:hint="default"/>
        </w:rPr>
      </w:pPr>
      <w:r>
        <w:rPr>
          <w:rFonts w:hint="default"/>
        </w:rPr>
        <w:t>$</w:t>
      </w:r>
    </w:p>
    <w:p w14:paraId="54322C26">
      <w:pPr>
        <w:rPr>
          <w:rFonts w:hint="default"/>
        </w:rPr>
      </w:pPr>
      <w:r>
        <w:rPr>
          <w:rFonts w:hint="default"/>
        </w:rPr>
        <w:t>Key materials and equipment:</w:t>
      </w:r>
    </w:p>
    <w:p w14:paraId="7F395D46">
      <w:pPr>
        <w:rPr>
          <w:rFonts w:hint="default"/>
        </w:rPr>
      </w:pPr>
      <w:r>
        <w:rPr>
          <w:rFonts w:hint="default"/>
        </w:rPr>
        <w:t>- Young hot pepper plants (Capsicum annuum)</w:t>
      </w:r>
    </w:p>
    <w:p w14:paraId="773CB7BC">
      <w:pPr>
        <w:rPr>
          <w:rFonts w:hint="default"/>
        </w:rPr>
      </w:pPr>
      <w:r>
        <w:rPr>
          <w:rFonts w:hint="default"/>
        </w:rPr>
        <w:t>- Hand-held sprayer or atomizer</w:t>
      </w:r>
    </w:p>
    <w:p w14:paraId="7AE4B5A7">
      <w:pPr>
        <w:rPr>
          <w:rFonts w:hint="default"/>
        </w:rPr>
      </w:pPr>
      <w:r>
        <w:rPr>
          <w:rFonts w:hint="default"/>
        </w:rPr>
        <w:t>- Greenhouse with controlled environment</w:t>
      </w:r>
    </w:p>
    <w:p w14:paraId="33624FD3">
      <w:pPr>
        <w:rPr>
          <w:rFonts w:hint="default"/>
        </w:rPr>
      </w:pPr>
      <w:r>
        <w:rPr>
          <w:rFonts w:hint="default"/>
        </w:rPr>
        <w:t>- Counting equipment (e.g., visual inspection, beating tray)</w:t>
      </w:r>
    </w:p>
    <w:p w14:paraId="5B775F38">
      <w:pPr>
        <w:rPr>
          <w:rFonts w:hint="default"/>
        </w:rPr>
      </w:pPr>
      <w:r>
        <w:rPr>
          <w:rFonts w:hint="default"/>
        </w:rPr>
        <w:t>$</w:t>
      </w:r>
    </w:p>
    <w:p w14:paraId="5283FC80">
      <w:pPr>
        <w:rPr>
          <w:rFonts w:hint="default"/>
        </w:rPr>
      </w:pPr>
      <w:r>
        <w:rPr>
          <w:rFonts w:hint="default"/>
        </w:rPr>
        <w:t>Controls_and_validation:</w:t>
      </w:r>
    </w:p>
    <w:p w14:paraId="6F4CF233">
      <w:pPr>
        <w:rPr>
          <w:rFonts w:hint="default"/>
        </w:rPr>
      </w:pPr>
      <w:r>
        <w:rPr>
          <w:rFonts w:hint="default"/>
        </w:rPr>
        <w:t>The water spray is the essential untreated control for calculating percent control efficacy. The RBD accounts for environmental gradients within the greenhouse.</w:t>
      </w:r>
    </w:p>
    <w:p w14:paraId="146B25FF">
      <w:pPr>
        <w:rPr>
          <w:rFonts w:hint="default"/>
        </w:rPr>
      </w:pPr>
      <w:r>
        <w:rPr>
          <w:rFonts w:hint="default"/>
        </w:rPr>
        <w:t>$</w:t>
      </w:r>
    </w:p>
    <w:p w14:paraId="5FA67A08">
      <w:pPr>
        <w:rPr>
          <w:rFonts w:hint="default"/>
        </w:rPr>
      </w:pPr>
      <w:r>
        <w:rPr>
          <w:rFonts w:hint="default"/>
        </w:rPr>
        <w:t>Notes</w:t>
      </w:r>
    </w:p>
    <w:p w14:paraId="0E1E605D">
      <w:pPr>
        <w:rPr>
          <w:rFonts w:hint="default"/>
        </w:rPr>
      </w:pPr>
      <w:r>
        <w:rPr>
          <w:rFonts w:hint="default"/>
        </w:rPr>
        <w:t>Precise and consistent spray volume per plant is crucial. The plant spacing and single-species infestation help isolate treatment effects. This protocol bridges the gap between lab and field.</w:t>
      </w:r>
    </w:p>
    <w:p w14:paraId="5BF300EA">
      <w:pPr>
        <w:rPr>
          <w:rFonts w:hint="default"/>
        </w:rPr>
      </w:pPr>
    </w:p>
    <w:p w14:paraId="2BE86503">
      <w:pPr>
        <w:rPr>
          <w:rFonts w:hint="default"/>
        </w:rPr>
      </w:pPr>
      <w:r>
        <w:rPr>
          <w:rFonts w:hint="default"/>
        </w:rPr>
        <w:t>{}</w:t>
      </w:r>
    </w:p>
    <w:p w14:paraId="40FCA621">
      <w:pPr>
        <w:rPr>
          <w:rFonts w:hint="default"/>
        </w:rPr>
      </w:pPr>
      <w:r>
        <w:rPr>
          <w:rFonts w:hint="default"/>
        </w:rPr>
        <w:t>$</w:t>
      </w:r>
    </w:p>
    <w:p w14:paraId="63D503FE">
      <w:pPr>
        <w:rPr>
          <w:rFonts w:hint="default"/>
        </w:rPr>
      </w:pPr>
      <w:r>
        <w:rPr>
          <w:rFonts w:hint="default"/>
        </w:rPr>
        <w:t>Sub-protocol 7: Fluorescence In Situ Hybridization (FISH) for Target mRNA Localization</w:t>
      </w:r>
    </w:p>
    <w:p w14:paraId="2ED8C328">
      <w:pPr>
        <w:rPr>
          <w:rFonts w:hint="default"/>
        </w:rPr>
      </w:pPr>
      <w:r>
        <w:rPr>
          <w:rFonts w:hint="default"/>
        </w:rPr>
        <w:t>**[PROTOCOL_STAGE=PHENOTYPE_OBSERVATION]**</w:t>
      </w:r>
    </w:p>
    <w:p w14:paraId="1358F629">
      <w:pPr>
        <w:rPr>
          <w:rFonts w:hint="default"/>
        </w:rPr>
      </w:pPr>
      <w:r>
        <w:rPr>
          <w:rFonts w:hint="default"/>
        </w:rPr>
        <w:t>$</w:t>
      </w:r>
    </w:p>
    <w:p w14:paraId="712610E7">
      <w:pPr>
        <w:rPr>
          <w:rFonts w:hint="default"/>
        </w:rPr>
      </w:pPr>
      <w:r>
        <w:rPr>
          <w:rFonts w:hint="default"/>
        </w:rPr>
        <w:t>Applicable when:</w:t>
      </w:r>
    </w:p>
    <w:p w14:paraId="7F815629">
      <w:pPr>
        <w:rPr>
          <w:rFonts w:hint="default"/>
        </w:rPr>
      </w:pPr>
      <w:r>
        <w:rPr>
          <w:rFonts w:hint="default"/>
        </w:rPr>
        <w:t>Visualizing the spatial distribution and abundance of target mRNA within gut tissues following dsRNA treatment.</w:t>
      </w:r>
    </w:p>
    <w:p w14:paraId="26DDEA7D">
      <w:pPr>
        <w:rPr>
          <w:rFonts w:hint="default"/>
        </w:rPr>
      </w:pPr>
      <w:r>
        <w:rPr>
          <w:rFonts w:hint="default"/>
        </w:rPr>
        <w:t>$</w:t>
      </w:r>
    </w:p>
    <w:p w14:paraId="175F364B">
      <w:pPr>
        <w:rPr>
          <w:rFonts w:hint="default"/>
        </w:rPr>
      </w:pPr>
      <w:r>
        <w:rPr>
          <w:rFonts w:hint="default"/>
        </w:rPr>
        <w:t>Purpose:</w:t>
      </w:r>
    </w:p>
    <w:p w14:paraId="552EEB84">
      <w:pPr>
        <w:rPr>
          <w:rFonts w:hint="default"/>
        </w:rPr>
      </w:pPr>
      <w:r>
        <w:rPr>
          <w:rFonts w:hint="default"/>
        </w:rPr>
        <w:t>To confirm dsRNA-mediated knockdown at the cellular level and to visualize sites of gene expression and potential dsRNA uptake.</w:t>
      </w:r>
    </w:p>
    <w:p w14:paraId="09B094F0">
      <w:pPr>
        <w:rPr>
          <w:rFonts w:hint="default"/>
        </w:rPr>
      </w:pPr>
      <w:r>
        <w:rPr>
          <w:rFonts w:hint="default"/>
        </w:rPr>
        <w:t>$</w:t>
      </w:r>
    </w:p>
    <w:p w14:paraId="2EDC0EA9">
      <w:pPr>
        <w:rPr>
          <w:rFonts w:hint="default"/>
        </w:rPr>
      </w:pPr>
      <w:r>
        <w:rPr>
          <w:rFonts w:hint="default"/>
        </w:rPr>
        <w:t>Procedure:</w:t>
      </w:r>
    </w:p>
    <w:p w14:paraId="3388362C">
      <w:pPr>
        <w:rPr>
          <w:rFonts w:hint="default"/>
        </w:rPr>
      </w:pPr>
      <w:r>
        <w:rPr>
          <w:rFonts w:hint="default"/>
        </w:rPr>
        <w:t>1.  **Insect Treatment &amp; Dissection:** Treat individual female adult thrips with dsRNA (or control) via feeding. After 18 hours, dissect out the midgut tissue under a microscope.</w:t>
      </w:r>
    </w:p>
    <w:p w14:paraId="5620C156">
      <w:pPr>
        <w:rPr>
          <w:rFonts w:hint="default"/>
        </w:rPr>
      </w:pPr>
      <w:r>
        <w:rPr>
          <w:rFonts w:hint="default"/>
        </w:rPr>
        <w:t>2.  **Fixation:** Place gut on a glass slide. Fix with 4% paraformaldehyde for 1 hour at RT. Rinse with 1x PBS.</w:t>
      </w:r>
    </w:p>
    <w:p w14:paraId="24EC242A">
      <w:pPr>
        <w:rPr>
          <w:rFonts w:hint="default"/>
        </w:rPr>
      </w:pPr>
      <w:r>
        <w:rPr>
          <w:rFonts w:hint="default"/>
        </w:rPr>
        <w:t>3.  **Permeabilization:** Permeabilize tissue with 1% Triton X-100 in PBS for 3 hours at RT. Wash with PBS.</w:t>
      </w:r>
    </w:p>
    <w:p w14:paraId="1F07EC13">
      <w:pPr>
        <w:rPr>
          <w:rFonts w:hint="default"/>
        </w:rPr>
      </w:pPr>
      <w:r>
        <w:rPr>
          <w:rFonts w:hint="default"/>
        </w:rPr>
        <w:t>4.  **Pre-hybridization:** Submerge gut in 2x SSC buffer. Apply 25 µL of pre-hybridization buffer (containing yeast tRNA, SSC, dextran sulphate, SDS) and incubate at 42°C in a dark, humid chamber for 1 hour.</w:t>
      </w:r>
    </w:p>
    <w:p w14:paraId="74C003A1">
      <w:pPr>
        <w:rPr>
          <w:rFonts w:hint="default"/>
        </w:rPr>
      </w:pPr>
      <w:r>
        <w:rPr>
          <w:rFonts w:hint="default"/>
        </w:rPr>
        <w:t>5.  **Hybridization:** Replace buffer with hybridization buffer containing deionized formamide and a fluorescein-labelled oligonucleotide probe (FAM or Marina blue tagged). Use an antisense probe complementary to the target mRNA (e.g., for vATPase-B or dsRNase) and a sense probe as a negative control. Cover with a coverslip.</w:t>
      </w:r>
    </w:p>
    <w:p w14:paraId="7ECDA347">
      <w:pPr>
        <w:rPr>
          <w:rFonts w:hint="default"/>
        </w:rPr>
      </w:pPr>
      <w:r>
        <w:rPr>
          <w:rFonts w:hint="default"/>
        </w:rPr>
        <w:t>6.  **Overnight Incubation:** Incubate slides in a humid chamber at 42°C overnight (~16-17 hours).</w:t>
      </w:r>
    </w:p>
    <w:p w14:paraId="792A0CC0">
      <w:pPr>
        <w:rPr>
          <w:rFonts w:hint="default"/>
        </w:rPr>
      </w:pPr>
      <w:r>
        <w:rPr>
          <w:rFonts w:hint="default"/>
        </w:rPr>
        <w:t>7.  **Post-Hybridization Washes:**</w:t>
      </w:r>
    </w:p>
    <w:p w14:paraId="0288DC03">
      <w:pPr>
        <w:rPr>
          <w:rFonts w:hint="default"/>
        </w:rPr>
      </w:pPr>
      <w:r>
        <w:rPr>
          <w:rFonts w:hint="default"/>
        </w:rPr>
        <w:t xml:space="preserve">    - Wash twice with 4x SSC for 10 min each.</w:t>
      </w:r>
    </w:p>
    <w:p w14:paraId="6881B74F">
      <w:pPr>
        <w:rPr>
          <w:rFonts w:hint="default"/>
        </w:rPr>
      </w:pPr>
      <w:r>
        <w:rPr>
          <w:rFonts w:hint="default"/>
        </w:rPr>
        <w:t xml:space="preserve">    - Wash with 4x SSC containing 1% Triton X-100 for 5 min at RT.</w:t>
      </w:r>
    </w:p>
    <w:p w14:paraId="1C33F08F">
      <w:pPr>
        <w:rPr>
          <w:rFonts w:hint="default"/>
        </w:rPr>
      </w:pPr>
      <w:r>
        <w:rPr>
          <w:rFonts w:hint="default"/>
        </w:rPr>
        <w:t xml:space="preserve">    - Wash three more times with 4x SSC.</w:t>
      </w:r>
    </w:p>
    <w:p w14:paraId="0061D2DE">
      <w:pPr>
        <w:rPr>
          <w:rFonts w:hint="default"/>
        </w:rPr>
      </w:pPr>
      <w:r>
        <w:rPr>
          <w:rFonts w:hint="default"/>
        </w:rPr>
        <w:t>8.  **Signal Amplification (Optional):** Incubate with 1% anti-rabbit-FITC conjugated antibody in PBS at 37°C for 30 min in the dark. Wash twice with 4x SSC.</w:t>
      </w:r>
    </w:p>
    <w:p w14:paraId="28783F06">
      <w:pPr>
        <w:rPr>
          <w:rFonts w:hint="default"/>
        </w:rPr>
      </w:pPr>
      <w:r>
        <w:rPr>
          <w:rFonts w:hint="default"/>
        </w:rPr>
        <w:t>9.  **Mounting and Imaging:** Air-dry samples, add a drop of 50% glycerol, incubate 15 min at RT, cover with a coverslip, and observe under a fluorescence microscope at 200x magnification.</w:t>
      </w:r>
    </w:p>
    <w:p w14:paraId="0D5CAA66">
      <w:pPr>
        <w:rPr>
          <w:rFonts w:hint="default"/>
        </w:rPr>
      </w:pPr>
      <w:r>
        <w:rPr>
          <w:rFonts w:hint="default"/>
        </w:rPr>
        <w:t>$</w:t>
      </w:r>
    </w:p>
    <w:p w14:paraId="6A039E43">
      <w:pPr>
        <w:rPr>
          <w:rFonts w:hint="default"/>
        </w:rPr>
      </w:pPr>
      <w:r>
        <w:rPr>
          <w:rFonts w:hint="default"/>
        </w:rPr>
        <w:t>Key materials and equipment:</w:t>
      </w:r>
    </w:p>
    <w:p w14:paraId="2AB30FBF">
      <w:pPr>
        <w:rPr>
          <w:rFonts w:hint="default"/>
        </w:rPr>
      </w:pPr>
      <w:r>
        <w:rPr>
          <w:rFonts w:hint="default"/>
        </w:rPr>
        <w:t>- Fluorescein-labelled DNA oligonucleotide probes (antisense and sense control)</w:t>
      </w:r>
    </w:p>
    <w:p w14:paraId="6E02A357">
      <w:pPr>
        <w:rPr>
          <w:rFonts w:hint="default"/>
        </w:rPr>
      </w:pPr>
      <w:r>
        <w:rPr>
          <w:rFonts w:hint="default"/>
        </w:rPr>
        <w:t>- 4% Paraformaldehyde</w:t>
      </w:r>
    </w:p>
    <w:p w14:paraId="15ABFCEE">
      <w:pPr>
        <w:rPr>
          <w:rFonts w:hint="default"/>
        </w:rPr>
      </w:pPr>
      <w:r>
        <w:rPr>
          <w:rFonts w:hint="default"/>
        </w:rPr>
        <w:t>- Triton X-100</w:t>
      </w:r>
    </w:p>
    <w:p w14:paraId="6D147445">
      <w:pPr>
        <w:rPr>
          <w:rFonts w:hint="default"/>
        </w:rPr>
      </w:pPr>
      <w:r>
        <w:rPr>
          <w:rFonts w:hint="default"/>
        </w:rPr>
        <w:t>- SSC buffers (20x, 4x, 2x)</w:t>
      </w:r>
    </w:p>
    <w:p w14:paraId="1A516811">
      <w:pPr>
        <w:rPr>
          <w:rFonts w:hint="default"/>
        </w:rPr>
      </w:pPr>
      <w:r>
        <w:rPr>
          <w:rFonts w:hint="default"/>
        </w:rPr>
        <w:t>- Humid hybridization chamber</w:t>
      </w:r>
    </w:p>
    <w:p w14:paraId="433BF9E4">
      <w:pPr>
        <w:rPr>
          <w:rFonts w:hint="default"/>
        </w:rPr>
      </w:pPr>
      <w:r>
        <w:rPr>
          <w:rFonts w:hint="default"/>
        </w:rPr>
        <w:t>- Fluorescence microscope (e.g., Leica DM2500)</w:t>
      </w:r>
    </w:p>
    <w:p w14:paraId="1965B8E7">
      <w:pPr>
        <w:rPr>
          <w:rFonts w:hint="default"/>
        </w:rPr>
      </w:pPr>
      <w:r>
        <w:rPr>
          <w:rFonts w:hint="default"/>
        </w:rPr>
        <w:t>$</w:t>
      </w:r>
    </w:p>
    <w:p w14:paraId="27B16212">
      <w:pPr>
        <w:rPr>
          <w:rFonts w:hint="default"/>
        </w:rPr>
      </w:pPr>
      <w:r>
        <w:rPr>
          <w:rFonts w:hint="default"/>
        </w:rPr>
        <w:t>Controls_and_validation:</w:t>
      </w:r>
    </w:p>
    <w:p w14:paraId="28C191EB">
      <w:pPr>
        <w:rPr>
          <w:rFonts w:hint="default"/>
        </w:rPr>
      </w:pPr>
      <w:r>
        <w:rPr>
          <w:rFonts w:hint="default"/>
        </w:rPr>
        <w:t>The sense strand probe is a critical negative control to assess non-specific binding. Comparison between dsRNA-treated and control guts visualizes knockdown.</w:t>
      </w:r>
    </w:p>
    <w:p w14:paraId="12B57D23">
      <w:pPr>
        <w:rPr>
          <w:rFonts w:hint="default"/>
        </w:rPr>
      </w:pPr>
      <w:r>
        <w:rPr>
          <w:rFonts w:hint="default"/>
        </w:rPr>
        <w:t>$</w:t>
      </w:r>
    </w:p>
    <w:p w14:paraId="1EDCA28A">
      <w:pPr>
        <w:rPr>
          <w:rFonts w:hint="default"/>
        </w:rPr>
      </w:pPr>
      <w:r>
        <w:rPr>
          <w:rFonts w:hint="default"/>
        </w:rPr>
        <w:t>Notes</w:t>
      </w:r>
    </w:p>
    <w:p w14:paraId="5C7C2ADB">
      <w:pPr>
        <w:rPr>
          <w:rFonts w:hint="default"/>
        </w:rPr>
      </w:pPr>
      <w:r>
        <w:rPr>
          <w:rFonts w:hint="default"/>
        </w:rPr>
        <w:t>This is a technically demanding protocol due to the small size of thrips tissues. Permeabilization and hybridization times are long to ensure probe access. FISH confirms the site of RNAi action.</w:t>
      </w:r>
    </w:p>
    <w:p w14:paraId="3DF0547A">
      <w:pPr>
        <w:rPr>
          <w:rFonts w:hint="default"/>
        </w:rPr>
      </w:pPr>
    </w:p>
    <w:p w14:paraId="2CF5FF47">
      <w:pPr>
        <w:rPr>
          <w:rFonts w:hint="default"/>
        </w:rPr>
      </w:pPr>
      <w:r>
        <w:rPr>
          <w:rFonts w:hint="default"/>
        </w:rPr>
        <w:t>{}</w:t>
      </w:r>
    </w:p>
    <w:p w14:paraId="184EC1DE">
      <w:pPr>
        <w:rPr>
          <w:rFonts w:hint="default"/>
        </w:rPr>
      </w:pPr>
      <w:r>
        <w:rPr>
          <w:rFonts w:hint="default"/>
        </w:rPr>
        <w:t>$</w:t>
      </w:r>
    </w:p>
    <w:p w14:paraId="4517DDBC">
      <w:pPr>
        <w:rPr>
          <w:rFonts w:hint="default"/>
        </w:rPr>
      </w:pPr>
      <w:r>
        <w:rPr>
          <w:rFonts w:hint="default"/>
        </w:rPr>
        <w:t>Sub-protocol 8: Multi-Species dsRNA Mixture Efficacy and Non-Target Testing</w:t>
      </w:r>
    </w:p>
    <w:p w14:paraId="1C5FF3A9">
      <w:pPr>
        <w:rPr>
          <w:rFonts w:hint="default"/>
        </w:rPr>
      </w:pPr>
      <w:r>
        <w:rPr>
          <w:rFonts w:hint="default"/>
        </w:rPr>
        <w:t>**[PROTOCOL_STAGE=CONTROL_DESIGN]**</w:t>
      </w:r>
    </w:p>
    <w:p w14:paraId="075F1195">
      <w:pPr>
        <w:rPr>
          <w:rFonts w:hint="default"/>
        </w:rPr>
      </w:pPr>
      <w:r>
        <w:rPr>
          <w:rFonts w:hint="default"/>
        </w:rPr>
        <w:t>$</w:t>
      </w:r>
    </w:p>
    <w:p w14:paraId="47F9B187">
      <w:pPr>
        <w:rPr>
          <w:rFonts w:hint="default"/>
        </w:rPr>
      </w:pPr>
      <w:r>
        <w:rPr>
          <w:rFonts w:hint="default"/>
        </w:rPr>
        <w:t>Applicable when:</w:t>
      </w:r>
    </w:p>
    <w:p w14:paraId="23A69525">
      <w:pPr>
        <w:rPr>
          <w:rFonts w:hint="default"/>
        </w:rPr>
      </w:pPr>
      <w:r>
        <w:rPr>
          <w:rFonts w:hint="default"/>
        </w:rPr>
        <w:t>Developing a broad-spectrum dsRNA product active against multiple related pest species and assessing its specificity.</w:t>
      </w:r>
    </w:p>
    <w:p w14:paraId="6A8EF409">
      <w:pPr>
        <w:rPr>
          <w:rFonts w:hint="default"/>
        </w:rPr>
      </w:pPr>
      <w:r>
        <w:rPr>
          <w:rFonts w:hint="default"/>
        </w:rPr>
        <w:t>$</w:t>
      </w:r>
    </w:p>
    <w:p w14:paraId="4DD00E5D">
      <w:pPr>
        <w:rPr>
          <w:rFonts w:hint="default"/>
        </w:rPr>
      </w:pPr>
      <w:r>
        <w:rPr>
          <w:rFonts w:hint="default"/>
        </w:rPr>
        <w:t>Purpose:</w:t>
      </w:r>
    </w:p>
    <w:p w14:paraId="2CF29F2C">
      <w:pPr>
        <w:rPr>
          <w:rFonts w:hint="default"/>
        </w:rPr>
      </w:pPr>
      <w:r>
        <w:rPr>
          <w:rFonts w:hint="default"/>
        </w:rPr>
        <w:t>To test if a mixture of species-specific dsRNAs can control multiple thrips pests without harming a non-target insect.</w:t>
      </w:r>
    </w:p>
    <w:p w14:paraId="0C785EDD">
      <w:pPr>
        <w:rPr>
          <w:rFonts w:hint="default"/>
        </w:rPr>
      </w:pPr>
      <w:r>
        <w:rPr>
          <w:rFonts w:hint="default"/>
        </w:rPr>
        <w:t>$</w:t>
      </w:r>
    </w:p>
    <w:p w14:paraId="0B6847F1">
      <w:pPr>
        <w:rPr>
          <w:rFonts w:hint="default"/>
        </w:rPr>
      </w:pPr>
      <w:r>
        <w:rPr>
          <w:rFonts w:hint="default"/>
        </w:rPr>
        <w:t>Procedure:</w:t>
      </w:r>
    </w:p>
    <w:p w14:paraId="178302B7">
      <w:pPr>
        <w:rPr>
          <w:rFonts w:hint="default"/>
        </w:rPr>
      </w:pPr>
      <w:r>
        <w:rPr>
          <w:rFonts w:hint="default"/>
        </w:rPr>
        <w:t>1.  **dsRNA Design &amp; Synthesis:** Design and synthesize dsRNAs targeting a conserved region (e.g., 322 bp of vATPase-B) from three different thrips species: F. occidentalis (Fo-dsvATPaseB), F. intonsa (Fi-dsvATPaseB), and T. tabaci (Tt-dsvATPaseB).</w:t>
      </w:r>
    </w:p>
    <w:p w14:paraId="4286000E">
      <w:pPr>
        <w:rPr>
          <w:rFonts w:hint="default"/>
        </w:rPr>
      </w:pPr>
      <w:r>
        <w:rPr>
          <w:rFonts w:hint="default"/>
        </w:rPr>
        <w:t>2.  **Mixture Preparation:** Prepare dsRNA mixtures at total concentrations of 500, 1000, and 1500 ppm. For example, for the 500 ppm mix, combine 165 ppm of each of the three dsRNAs.</w:t>
      </w:r>
    </w:p>
    <w:p w14:paraId="72B91A0F">
      <w:pPr>
        <w:rPr>
          <w:rFonts w:hint="default"/>
        </w:rPr>
      </w:pPr>
      <w:r>
        <w:rPr>
          <w:rFonts w:hint="default"/>
        </w:rPr>
        <w:t>3.  **Efficacy Bioassay (Target Pests):** Test the mixtures on adults of each thrips species using the Laboratory Feeding Bioassay (Sub-protocol 5). Use the appropriate diet for each species. Include a dsCON-treated control group. Assess mortality at 7 DAT.</w:t>
      </w:r>
    </w:p>
    <w:p w14:paraId="67BC0326">
      <w:pPr>
        <w:rPr>
          <w:rFonts w:hint="default"/>
        </w:rPr>
      </w:pPr>
      <w:r>
        <w:rPr>
          <w:rFonts w:hint="default"/>
        </w:rPr>
        <w:t>4.  **Non-Target Bioassay:** Test the most effective mixture (e.g., 500 ppm total) on larvae of the non-target lepidopteran, Spodoptera exigua, using the same feeding bioassay protocol but with its artificial diet. Include a dsCON control.</w:t>
      </w:r>
    </w:p>
    <w:p w14:paraId="4BDFD9E4">
      <w:pPr>
        <w:rPr>
          <w:rFonts w:hint="default"/>
        </w:rPr>
      </w:pPr>
      <w:r>
        <w:rPr>
          <w:rFonts w:hint="default"/>
        </w:rPr>
        <w:t>5.  **Data Analysis:** For target pests, analyze dose-response of the mixture. For non-target testing, compare mortality in the mixture group to the dsCON control using ANOVA.</w:t>
      </w:r>
    </w:p>
    <w:p w14:paraId="40803614">
      <w:pPr>
        <w:rPr>
          <w:rFonts w:hint="default"/>
        </w:rPr>
      </w:pPr>
      <w:r>
        <w:rPr>
          <w:rFonts w:hint="default"/>
        </w:rPr>
        <w:t>$</w:t>
      </w:r>
    </w:p>
    <w:p w14:paraId="335C4F1C">
      <w:pPr>
        <w:rPr>
          <w:rFonts w:hint="default"/>
        </w:rPr>
      </w:pPr>
      <w:r>
        <w:rPr>
          <w:rFonts w:hint="default"/>
        </w:rPr>
        <w:t>Key materials and equipment:</w:t>
      </w:r>
    </w:p>
    <w:p w14:paraId="19F0CABF">
      <w:pPr>
        <w:rPr>
          <w:rFonts w:hint="default"/>
        </w:rPr>
      </w:pPr>
      <w:r>
        <w:rPr>
          <w:rFonts w:hint="default"/>
        </w:rPr>
        <w:t>- Species-specific dsRNAs (Fo-, Fi-, Tt-dsvATPaseB)</w:t>
      </w:r>
    </w:p>
    <w:p w14:paraId="77C5065C">
      <w:pPr>
        <w:rPr>
          <w:rFonts w:hint="default"/>
        </w:rPr>
      </w:pPr>
      <w:r>
        <w:rPr>
          <w:rFonts w:hint="default"/>
        </w:rPr>
        <w:t>- Diets for three thrips species and S. exigua</w:t>
      </w:r>
    </w:p>
    <w:p w14:paraId="0770C559">
      <w:pPr>
        <w:rPr>
          <w:rFonts w:hint="default"/>
        </w:rPr>
      </w:pPr>
      <w:r>
        <w:rPr>
          <w:rFonts w:hint="default"/>
        </w:rPr>
        <w:t>- Breeding dishes</w:t>
      </w:r>
    </w:p>
    <w:p w14:paraId="14C62DB4">
      <w:pPr>
        <w:rPr>
          <w:rFonts w:hint="default"/>
        </w:rPr>
      </w:pPr>
      <w:r>
        <w:rPr>
          <w:rFonts w:hint="default"/>
        </w:rPr>
        <w:t>- Standard rearing chamber</w:t>
      </w:r>
    </w:p>
    <w:p w14:paraId="5328BCA6">
      <w:pPr>
        <w:rPr>
          <w:rFonts w:hint="default"/>
        </w:rPr>
      </w:pPr>
      <w:r>
        <w:rPr>
          <w:rFonts w:hint="default"/>
        </w:rPr>
        <w:t>$</w:t>
      </w:r>
    </w:p>
    <w:p w14:paraId="1523F9B3">
      <w:pPr>
        <w:rPr>
          <w:rFonts w:hint="default"/>
        </w:rPr>
      </w:pPr>
      <w:r>
        <w:rPr>
          <w:rFonts w:hint="default"/>
        </w:rPr>
        <w:t>Controls_and_validation:</w:t>
      </w:r>
    </w:p>
    <w:p w14:paraId="77730DFD">
      <w:pPr>
        <w:rPr>
          <w:rFonts w:hint="default"/>
        </w:rPr>
      </w:pPr>
      <w:r>
        <w:rPr>
          <w:rFonts w:hint="default"/>
        </w:rPr>
        <w:t>The dsCON is the universal negative control for both efficacy and non-target assays. Testing each dsRNA individually on its homologous species confirms baseline activity before mixing.</w:t>
      </w:r>
    </w:p>
    <w:p w14:paraId="3EF2E75E">
      <w:pPr>
        <w:rPr>
          <w:rFonts w:hint="default"/>
        </w:rPr>
      </w:pPr>
      <w:r>
        <w:rPr>
          <w:rFonts w:hint="default"/>
        </w:rPr>
        <w:t>$</w:t>
      </w:r>
    </w:p>
    <w:p w14:paraId="46852546">
      <w:pPr>
        <w:rPr>
          <w:rFonts w:hint="default"/>
        </w:rPr>
      </w:pPr>
      <w:r>
        <w:rPr>
          <w:rFonts w:hint="default"/>
        </w:rPr>
        <w:t>Notes</w:t>
      </w:r>
    </w:p>
    <w:p w14:paraId="3D163813">
      <w:pPr>
        <w:rPr>
          <w:rFonts w:hint="default"/>
        </w:rPr>
      </w:pPr>
      <w:r>
        <w:rPr>
          <w:rFonts w:hint="default"/>
        </w:rPr>
        <w:t>Using a conserved region allows for design of specific dsRNAs that may have cross-species activity but require verification. The mixture approach aims to broaden the application spectrum while the non-target test addresses specificity concerns.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CD6953"/>
    <w:rsid w:val="6FBD1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2402</Words>
  <Characters>13883</Characters>
  <Lines>0</Lines>
  <Paragraphs>0</Paragraphs>
  <TotalTime>6</TotalTime>
  <ScaleCrop>false</ScaleCrop>
  <LinksUpToDate>false</LinksUpToDate>
  <CharactersWithSpaces>16242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2026-01-16T09:02:00Z</dcterms:created>
  <dc:creator>DELL</dc:creator>
  <cp:lastModifiedBy>李宗桓</cp:lastModifiedBy>
  <dcterms:modified xsi:type="dcterms:W3CDTF">2026-01-20T03:08:55Z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BD79750226E045F0B595A30F6A25C63A_12</vt:lpwstr>
  </property>
</Properties>
</file>