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25BC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{}</w:t>
      </w:r>
    </w:p>
    <w:p w14:paraId="58CE03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$</w:t>
      </w:r>
    </w:p>
    <w:p w14:paraId="0DBA2C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Effectiveness of chitosan nanohydrogel mediated encapsulation of EcR dsRNA against the whitefly, Bemisia tabaci Asia-I</w:t>
      </w:r>
    </w:p>
    <w:p w14:paraId="75F070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Source: Pesticide Biochemistry and Physiology 2024</w:t>
      </w:r>
    </w:p>
    <w:p w14:paraId="1906E8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DOI: 10.1016/j.pestbp.2023.105712</w:t>
      </w:r>
    </w:p>
    <w:p w14:paraId="56A480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Scope: Formulation, stability, and bioefficacy testing of chitosan nanoparticle hydrogel (CNP) for dsRNA oral delivery in whiteflies.</w:t>
      </w:r>
    </w:p>
    <w:p w14:paraId="06D2F1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Study_type: functional knockdown, nanocarrier formulation, dsRNA stability</w:t>
      </w:r>
    </w:p>
    <w:p w14:paraId="47EB28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Target_context: RNAi-mediated pest management via nanoparticle-protected dsRNA</w:t>
      </w:r>
    </w:p>
    <w:p w14:paraId="182E1A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Organism_or_system: Bemisia tabaci (Asia-I, Hemiptera: Aleyrodidae)</w:t>
      </w:r>
    </w:p>
    <w:p w14:paraId="5B8485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Delivery_or_intervention_mode: oral feeding via artificial diet (encapsulated dsRNA)</w:t>
      </w:r>
    </w:p>
    <w:p w14:paraId="2B2C26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$</w:t>
      </w:r>
    </w:p>
    <w:p w14:paraId="30B4A9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Metadata</w:t>
      </w:r>
    </w:p>
    <w:p w14:paraId="4A22A3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Source: Pesticide Biochemistry and Physiology 2024</w:t>
      </w:r>
    </w:p>
    <w:p w14:paraId="632A09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DOI: 10.1016/j.pestbp.2023.105712</w:t>
      </w:r>
    </w:p>
    <w:p w14:paraId="4D53B0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Scope: Developing and validating a chitosan nanoparticle hydrogel (CNP) as a protective carrier for dsRNA to enhance RNAi efficacy in whiteflies via oral delivery.</w:t>
      </w:r>
    </w:p>
    <w:p w14:paraId="39332F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Study_type: Formulation and bioassay</w:t>
      </w:r>
    </w:p>
    <w:p w14:paraId="069468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Organism: Bemisia tabaci (Asia-I)</w:t>
      </w:r>
    </w:p>
    <w:p w14:paraId="4D5445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Developmental_stage: Adult</w:t>
      </w:r>
    </w:p>
    <w:p w14:paraId="4D274F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Delivery_mode: Oral feeding</w:t>
      </w:r>
    </w:p>
    <w:p w14:paraId="796376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Molecule_or_intervention_type: dsRNA targeting Ecdysone Receptor (EcR) gene, encapsulated in chitosan nanohydrogel (CNP)</w:t>
      </w:r>
    </w:p>
    <w:p w14:paraId="494CA5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Application_context: Laboratory bioassay</w:t>
      </w:r>
    </w:p>
    <w:p w14:paraId="2E1B98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Validation_level: multi-level (molecular knockdown confirmation via qRT-PCR, phenotypic mortality)</w:t>
      </w:r>
    </w:p>
    <w:p w14:paraId="2894C1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Target_gene_or_pathway: Ecdysone Receptor (EcR)</w:t>
      </w:r>
    </w:p>
    <w:p w14:paraId="642E5D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$</w:t>
      </w:r>
    </w:p>
    <w:p w14:paraId="763FB2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Usage note</w:t>
      </w:r>
    </w:p>
    <w:p w14:paraId="42EDFE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This document is intended for experimental workflow guidance and protocol-level reasoning.</w:t>
      </w:r>
    </w:p>
    <w:p w14:paraId="447574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Numerical parameters and optimization details should be adapted to specific experimental contexts.</w:t>
      </w:r>
    </w:p>
    <w:p w14:paraId="67DCB20F">
      <w:pPr>
        <w:rPr>
          <w:rFonts w:hint="default"/>
          <w:lang w:val="en-US" w:eastAsia="zh-CN"/>
        </w:rPr>
      </w:pPr>
    </w:p>
    <w:p w14:paraId="5B7068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{}</w:t>
      </w:r>
    </w:p>
    <w:p w14:paraId="5036A9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$</w:t>
      </w:r>
    </w:p>
    <w:p w14:paraId="5A81EA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Sub-protocol 1: Whitefly Rearing for Bioassay</w:t>
      </w:r>
    </w:p>
    <w:p w14:paraId="4E50E9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**[PROTOCOL_STAGE=ORGANISM_REARING]**</w:t>
      </w:r>
    </w:p>
    <w:p w14:paraId="4DB9AA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$</w:t>
      </w:r>
    </w:p>
    <w:p w14:paraId="7F80A5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Applicable when:</w:t>
      </w:r>
    </w:p>
    <w:p w14:paraId="548A86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Establishing a continuous, controlled colony of Bemisia tabaci (Asia-I biotype) for use in dsRNA bioassays.</w:t>
      </w:r>
    </w:p>
    <w:p w14:paraId="178C22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$</w:t>
      </w:r>
    </w:p>
    <w:p w14:paraId="07D409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Purpose:</w:t>
      </w:r>
    </w:p>
    <w:p w14:paraId="7A5ED9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To provide a standardized, healthy population of target insects of defined age and physiological state for consistent experimental feeding assays.</w:t>
      </w:r>
    </w:p>
    <w:p w14:paraId="22CE3E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$</w:t>
      </w:r>
    </w:p>
    <w:p w14:paraId="24635E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Procedure:</w:t>
      </w:r>
    </w:p>
    <w:p w14:paraId="30C142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 Maintain brinjal (Solanum melongena cv. Arka Keshav) seedlings as host plants in 10 kg sand pots with a 1:1 potting mix of farm yard manure and red soil.</w:t>
      </w:r>
    </w:p>
    <w:p w14:paraId="0BE694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 Initiate colony with field-collected adult whiteflies using an aspirator. Release them onto healthy brinjal plants within a polyhouse.</w:t>
      </w:r>
    </w:p>
    <w:p w14:paraId="4581B7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 Rearing: Maintain the whiteflies continuously for multiple generations inside an insect-proof cage (60.96 x 76.2 x 91.44 cm).</w:t>
      </w:r>
    </w:p>
    <w:p w14:paraId="688A54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 Environmental Control: Maintain conditions at 25-26 °C, 65 ± 5% relative humidity, and a 15:9 hour (Light:Dark) photoperiod.</w:t>
      </w:r>
    </w:p>
    <w:p w14:paraId="072329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 Host Plant Stage: Use brinjal plants at the five to eight-leaf stage for rearing.</w:t>
      </w:r>
    </w:p>
    <w:p w14:paraId="2597A1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6.  Bioassay Preparation: For bioassays, collect and use one-day-old freshly hatched adult whiteflies.</w:t>
      </w:r>
    </w:p>
    <w:p w14:paraId="7B5931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$</w:t>
      </w:r>
    </w:p>
    <w:p w14:paraId="498105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Key materials and equipment:</w:t>
      </w:r>
    </w:p>
    <w:p w14:paraId="1CDFB9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Host plant: Brinjal (Solanum melongena cv. Arka Keshav)</w:t>
      </w:r>
    </w:p>
    <w:p w14:paraId="0DAB36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Rearing cage (insect-proof, 60.96" x 76.2" x 91.44")</w:t>
      </w:r>
    </w:p>
    <w:p w14:paraId="33B3D3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Environmental chamber or controlled room (temp, humidity, photoperiod)</w:t>
      </w:r>
    </w:p>
    <w:p w14:paraId="57BC2E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Aspirator</w:t>
      </w:r>
    </w:p>
    <w:p w14:paraId="261F72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$</w:t>
      </w:r>
    </w:p>
    <w:p w14:paraId="2066B7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Controls_and_validation:</w:t>
      </w:r>
    </w:p>
    <w:p w14:paraId="0A0E07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Colony is validated by continuous, healthy propagation over multiple generations.</w:t>
      </w:r>
    </w:p>
    <w:p w14:paraId="66BE9E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$</w:t>
      </w:r>
    </w:p>
    <w:p w14:paraId="1B7A0D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Notes</w:t>
      </w:r>
    </w:p>
    <w:p w14:paraId="20E83B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Ensure the colony is free from pathogens and maintained under strict environmental control to minimize phenotypic variability. Plants should be at a consistent growth stage.</w:t>
      </w:r>
    </w:p>
    <w:p w14:paraId="0927955B">
      <w:pPr>
        <w:rPr>
          <w:rFonts w:hint="default"/>
          <w:lang w:val="en-US" w:eastAsia="zh-CN"/>
        </w:rPr>
      </w:pPr>
    </w:p>
    <w:p w14:paraId="1AED2D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{}</w:t>
      </w:r>
    </w:p>
    <w:p w14:paraId="0DFC94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$</w:t>
      </w:r>
    </w:p>
    <w:p w14:paraId="5B2DED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Sub-protocol 2: In vitro Synthesis and Purification of Target dsRNA</w:t>
      </w:r>
    </w:p>
    <w:p w14:paraId="5C1BD6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**[PROTOCOL_STAGE=DSRNA_SYNTHESIS]**</w:t>
      </w:r>
    </w:p>
    <w:p w14:paraId="30FF3E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$</w:t>
      </w:r>
    </w:p>
    <w:p w14:paraId="2A9D4B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Applicable when:</w:t>
      </w:r>
    </w:p>
    <w:p w14:paraId="78E41E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Producing specific dsRNA targeting a gene of interest (EcR) for RNAi experiments.</w:t>
      </w:r>
    </w:p>
    <w:p w14:paraId="03AA14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$</w:t>
      </w:r>
    </w:p>
    <w:p w14:paraId="35EF91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Purpose:</w:t>
      </w:r>
    </w:p>
    <w:p w14:paraId="695806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To generate high-purity, intact dsRNA molecules from a DNA template for downstream encapsulation and bioassay.</w:t>
      </w:r>
    </w:p>
    <w:p w14:paraId="0A3A0F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$</w:t>
      </w:r>
    </w:p>
    <w:p w14:paraId="1B4359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Procedure:</w:t>
      </w:r>
    </w:p>
    <w:p w14:paraId="2165D8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 Template Preparation: Amplify the target gene fragment (EcR) by PCR using a forward primer containing the T7 promoter sequence.</w:t>
      </w:r>
    </w:p>
    <w:p w14:paraId="4866A4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 In vitro Transcription: Synthesize dsRNA using the PCR product as a template and T7 RNA polymerase (e.g., Thermo Scientific).</w:t>
      </w:r>
    </w:p>
    <w:p w14:paraId="3AEEEC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 DNase Treatment: Treat the synthesized dsRNA with DNase I (e.g., Thermo Scientific) to remove DNA template.</w:t>
      </w:r>
    </w:p>
    <w:p w14:paraId="24E35F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 Purification: Purify the dsRNA using Phenol:Chloroform extraction followed by ethanol precipitation.</w:t>
      </w:r>
    </w:p>
    <w:p w14:paraId="5BB711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 Quality Control:</w:t>
      </w:r>
    </w:p>
    <w:p w14:paraId="27A348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a.  Quantify concentration using a spectrophotometer (e.g., NanoDrop 2000).</w:t>
      </w:r>
    </w:p>
    <w:p w14:paraId="6CAAF2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b.  Assess integrity by running an aliquot on an agarose gel.</w:t>
      </w:r>
    </w:p>
    <w:p w14:paraId="0DDD18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6.  Storage: Store purified dsRNA at -20 °C until use.</w:t>
      </w:r>
    </w:p>
    <w:p w14:paraId="71BA23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$</w:t>
      </w:r>
    </w:p>
    <w:p w14:paraId="6922DB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Key materials and equipment:</w:t>
      </w:r>
    </w:p>
    <w:p w14:paraId="556880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T7 RNA Polymerase kit (Thermo Scientific)</w:t>
      </w:r>
    </w:p>
    <w:p w14:paraId="20A924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DNase I (Thermo Scientific)</w:t>
      </w:r>
    </w:p>
    <w:p w14:paraId="21415B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Phenol:Chloroform, Ethanol</w:t>
      </w:r>
    </w:p>
    <w:p w14:paraId="796B1A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NanoDrop 2000 spectrophotometer</w:t>
      </w:r>
    </w:p>
    <w:p w14:paraId="225FDD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Agarose gel electrophoresis system</w:t>
      </w:r>
    </w:p>
    <w:p w14:paraId="536FBF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$</w:t>
      </w:r>
    </w:p>
    <w:p w14:paraId="70DD64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Controls_and_validation:</w:t>
      </w:r>
    </w:p>
    <w:p w14:paraId="6ABBC0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PCR product and dsRNA integrity are validated via agarose gel electrophoresis. Concentration is quantified spectrophotometrically.</w:t>
      </w:r>
    </w:p>
    <w:p w14:paraId="0B5B76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$</w:t>
      </w:r>
    </w:p>
    <w:p w14:paraId="0213A4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Notes</w:t>
      </w:r>
    </w:p>
    <w:p w14:paraId="52507B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Primer design must include T7 promoter sequence. All steps should be performed RNase-free to prevent degradation. Gel electrophoresis confirms the absence of degradation (smearing) and the presence of a single, sharp band.</w:t>
      </w:r>
    </w:p>
    <w:p w14:paraId="7F8F7B90">
      <w:pPr>
        <w:rPr>
          <w:rFonts w:hint="default"/>
          <w:lang w:val="en-US" w:eastAsia="zh-CN"/>
        </w:rPr>
      </w:pPr>
    </w:p>
    <w:p w14:paraId="39D3BB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{}</w:t>
      </w:r>
    </w:p>
    <w:p w14:paraId="289524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$</w:t>
      </w:r>
    </w:p>
    <w:p w14:paraId="42D947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Sub-protocol 3: Preparation of Chitosan Nanohydrogel (CNP) Stock</w:t>
      </w:r>
    </w:p>
    <w:p w14:paraId="650146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**[PROTOCOL_STAGE=FORMULATION_PREPARATION]**</w:t>
      </w:r>
    </w:p>
    <w:p w14:paraId="521B85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$</w:t>
      </w:r>
    </w:p>
    <w:p w14:paraId="16C11C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Applicable when:</w:t>
      </w:r>
    </w:p>
    <w:p w14:paraId="41089F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Preparing a biocompatible, nanoparticle-forming hydrogel using chitosan and glycerol without chemical crosslinkers.</w:t>
      </w:r>
    </w:p>
    <w:p w14:paraId="5515D8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$</w:t>
      </w:r>
    </w:p>
    <w:p w14:paraId="3D5FD1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Purpose:</w:t>
      </w:r>
    </w:p>
    <w:p w14:paraId="133277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To create a biopolymer nanoparticle stock solution that can later be complexed with dsRNA for encapsulation and protection.</w:t>
      </w:r>
    </w:p>
    <w:p w14:paraId="08863D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$</w:t>
      </w:r>
    </w:p>
    <w:p w14:paraId="389625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Procedure:</w:t>
      </w:r>
    </w:p>
    <w:p w14:paraId="382F60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 Solution Preparation: Mix 1 gram of chitosan biopolymer (MW 3800–20,000 Da, ≥75% deacetylation) with 100 ml of glycerol (85–88% purity) in a w/v ratio.</w:t>
      </w:r>
    </w:p>
    <w:p w14:paraId="0174A6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 Homogenization: Heat the mixture at 60 °C with constant stirring for 30 minutes until a homogeneous mixture is achieved.</w:t>
      </w:r>
    </w:p>
    <w:p w14:paraId="3CE286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 Cooling: Cool the mixture down to room temperature.</w:t>
      </w:r>
    </w:p>
    <w:p w14:paraId="331D36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 Gelation: Store the colloidal hydrogel at -4 °C overnight to complete the gel formation process (freeze-thaw method). This is the 1% chitosan nanohydrogel stock.</w:t>
      </w:r>
    </w:p>
    <w:p w14:paraId="70EBB3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$</w:t>
      </w:r>
    </w:p>
    <w:p w14:paraId="7BA50B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Key materials and equipment:</w:t>
      </w:r>
    </w:p>
    <w:p w14:paraId="4C39C6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Chitosan biopolymer (specified MW and deacetylation)</w:t>
      </w:r>
    </w:p>
    <w:p w14:paraId="2F8ACC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Glycerol (high purity)</w:t>
      </w:r>
    </w:p>
    <w:p w14:paraId="340D92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Heating stir plate</w:t>
      </w:r>
    </w:p>
    <w:p w14:paraId="4A671A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Storage at -4 °C</w:t>
      </w:r>
    </w:p>
    <w:p w14:paraId="18801A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$</w:t>
      </w:r>
    </w:p>
    <w:p w14:paraId="12636D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Controls_and_validation:</w:t>
      </w:r>
    </w:p>
    <w:p w14:paraId="53BC18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Formation of a homogeneous, colloidal stock solution is the primary validation.</w:t>
      </w:r>
    </w:p>
    <w:p w14:paraId="54F00E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$</w:t>
      </w:r>
    </w:p>
    <w:p w14:paraId="4D4C9A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Notes</w:t>
      </w:r>
    </w:p>
    <w:p w14:paraId="3417C1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This method uses a physical freeze-thaw process, avoiding toxic crosslinking agents. The quality of starting chitosan (MW, deacetylation %) is critical for consistent nanoparticle formation.</w:t>
      </w:r>
    </w:p>
    <w:p w14:paraId="63B0FB6C">
      <w:pPr>
        <w:rPr>
          <w:rFonts w:hint="default"/>
          <w:lang w:val="en-US" w:eastAsia="zh-CN"/>
        </w:rPr>
      </w:pPr>
    </w:p>
    <w:p w14:paraId="7077FC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{}</w:t>
      </w:r>
    </w:p>
    <w:p w14:paraId="6B1D41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$</w:t>
      </w:r>
    </w:p>
    <w:p w14:paraId="27CC0E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Sub-protocol 4: Formulation of dsRNA-CNP Complex (Encapsulation)</w:t>
      </w:r>
    </w:p>
    <w:p w14:paraId="3C3DC3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**[PROTOCOL_STAGE=FORMULATION_PREPARATION]**</w:t>
      </w:r>
    </w:p>
    <w:p w14:paraId="6C4484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$</w:t>
      </w:r>
    </w:p>
    <w:p w14:paraId="0B7B94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Applicable when:</w:t>
      </w:r>
    </w:p>
    <w:p w14:paraId="0A7359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Loading dsRNA onto/into chitosan nanohydrogel nanoparticles to form a protective complex for oral delivery.</w:t>
      </w:r>
    </w:p>
    <w:p w14:paraId="2FD4F1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$</w:t>
      </w:r>
    </w:p>
    <w:p w14:paraId="6633A9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Purpose:</w:t>
      </w:r>
    </w:p>
    <w:p w14:paraId="1CDA80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To physically complex dsRNA with chitosan nanoparticles, facilitating encapsulation, protection from degradation, and potentially enhancing cellular uptake.</w:t>
      </w:r>
    </w:p>
    <w:p w14:paraId="779203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$</w:t>
      </w:r>
    </w:p>
    <w:p w14:paraId="1E6453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Procedure:</w:t>
      </w:r>
    </w:p>
    <w:p w14:paraId="3E04DE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 Ratio Testing: Formulate complexes at various CNP:dsRNA volume ratios (e.g., 100:1, 150:1, 200:1, 250:1). A common loading is 2 μg of dsRNA per formulation.</w:t>
      </w:r>
    </w:p>
    <w:p w14:paraId="77343E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 Mixing: Vortex the mixture of CNP stock and dsRNA for five minutes.</w:t>
      </w:r>
    </w:p>
    <w:p w14:paraId="6A762B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 Sonication: Sonicate the mixture for 30 minutes at 37 °C.</w:t>
      </w:r>
    </w:p>
    <w:p w14:paraId="3E40E1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 Incubation: Keep the dsRNA-loaded hydrogel samples overnight at -20 °C to enhance encapsulation efficiency.</w:t>
      </w:r>
    </w:p>
    <w:p w14:paraId="3883E1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 Validation (Gel Retardation Assay): Confirm successful complexation/binding by running the complex on a 1% agarose gel. Free dsRNA migrates, while complexed dsRNA is retained in the well.</w:t>
      </w:r>
    </w:p>
    <w:p w14:paraId="425EE4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$</w:t>
      </w:r>
    </w:p>
    <w:p w14:paraId="5DAD6D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Key materials and equipment:</w:t>
      </w:r>
    </w:p>
    <w:p w14:paraId="1B62E7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Chitosan nanohydrogel (CNP) stock</w:t>
      </w:r>
    </w:p>
    <w:p w14:paraId="29208C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Purified dsRNA</w:t>
      </w:r>
    </w:p>
    <w:p w14:paraId="1B8A23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Vortex mixer</w:t>
      </w:r>
    </w:p>
    <w:p w14:paraId="658000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Sonicator (maintaining 37 °C)</w:t>
      </w:r>
    </w:p>
    <w:p w14:paraId="28DA29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Agarose gel electrophoresis system</w:t>
      </w:r>
    </w:p>
    <w:p w14:paraId="0727A8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$</w:t>
      </w:r>
    </w:p>
    <w:p w14:paraId="62A6B0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Controls_and_validation:</w:t>
      </w:r>
    </w:p>
    <w:p w14:paraId="607E07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Gel retardation assay: Naked dsRNA (migrates) serves as a positive control, non-conjugated hydrogel (no band) as a negative control. Successful complexation shows dsRNA retained in well.</w:t>
      </w:r>
    </w:p>
    <w:p w14:paraId="099A48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$</w:t>
      </w:r>
    </w:p>
    <w:p w14:paraId="47CFB7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Notes</w:t>
      </w:r>
    </w:p>
    <w:p w14:paraId="29426D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 optimal ratio (e.g., 200:1 v/v) must be determined empirically via gel retardation and subsequent bioassay. Sonication temperature and time are critical for nanoparticle formation and loading.</w:t>
      </w:r>
    </w:p>
    <w:p w14:paraId="017C8017">
      <w:pPr>
        <w:rPr>
          <w:rFonts w:hint="default"/>
          <w:lang w:val="en-US" w:eastAsia="zh-CN"/>
        </w:rPr>
      </w:pPr>
    </w:p>
    <w:p w14:paraId="254E2C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{}</w:t>
      </w:r>
    </w:p>
    <w:p w14:paraId="6E4880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$</w:t>
      </w:r>
    </w:p>
    <w:p w14:paraId="6F83C8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Sub-protocol 5: Characterization of CNP/dsRNA Complex (Morphology &amp; Confirmation)</w:t>
      </w:r>
    </w:p>
    <w:p w14:paraId="5C4F7B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**[PROTOCOL_STAGE=FORMULATION_PREPARATION]**</w:t>
      </w:r>
    </w:p>
    <w:p w14:paraId="0D99C8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$</w:t>
      </w:r>
    </w:p>
    <w:p w14:paraId="7F08C0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Applicable when:</w:t>
      </w:r>
    </w:p>
    <w:p w14:paraId="331AA2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Physically characterizing the formulated nanoparticle-dsRNA complex to confirm size, shape, and successful incorporation of dsRNA.</w:t>
      </w:r>
    </w:p>
    <w:p w14:paraId="655FD5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$</w:t>
      </w:r>
    </w:p>
    <w:p w14:paraId="000329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Purpose:</w:t>
      </w:r>
    </w:p>
    <w:p w14:paraId="744D47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To provide evidence of nanoparticle formation, dsRNA interaction, and to characterize the physical properties of the delivery complex.</w:t>
      </w:r>
    </w:p>
    <w:p w14:paraId="09E05C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$</w:t>
      </w:r>
    </w:p>
    <w:p w14:paraId="77D020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Procedure:</w:t>
      </w:r>
    </w:p>
    <w:p w14:paraId="61A630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 FE-SEM (Field Emission Scanning Electron Microscopy):</w:t>
      </w:r>
    </w:p>
    <w:p w14:paraId="19CFF6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a.  Apply 30 μL of dried sample (CNP or CNP/dsRNA) on a Copper (Cu) grid (coated for conductivity).</w:t>
      </w:r>
    </w:p>
    <w:p w14:paraId="554039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b.  Analyze shape and surface texture using FE-SEM.</w:t>
      </w:r>
    </w:p>
    <w:p w14:paraId="36E4FA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 HR-TEM (High Resolution Transmission Electron Microscopy):</w:t>
      </w:r>
    </w:p>
    <w:p w14:paraId="151FE5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a.  Dissolve CNP/dsRNA nanoparticles in water, vortex for 5 minutes.</w:t>
      </w:r>
    </w:p>
    <w:p w14:paraId="5D9BCB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b.  Incubate a droplet on a grid at room temperature for 10 min to dry.</w:t>
      </w:r>
    </w:p>
    <w:p w14:paraId="356276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c.  View morphology under TEM and analyze images with software (e.g., ImageJ).</w:t>
      </w:r>
    </w:p>
    <w:p w14:paraId="5D671A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 FTIR (Fourier Transform Infrared Spectroscopy):</w:t>
      </w:r>
    </w:p>
    <w:p w14:paraId="55902A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a.  Analyze samples (CNP, dsRNA, CNP/dsRNA) in the range of 4000 - 400 cm⁻¹ using the KBr method or ATR (Attenuated Total Reflectance).</w:t>
      </w:r>
    </w:p>
    <w:p w14:paraId="209FFF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b.  Identify functional groups and confirm interactions/shifts indicating dsRNA encapsulation.</w:t>
      </w:r>
    </w:p>
    <w:p w14:paraId="2FC2A9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$</w:t>
      </w:r>
    </w:p>
    <w:p w14:paraId="4C6A23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Key materials and equipment:</w:t>
      </w:r>
    </w:p>
    <w:p w14:paraId="51C665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Field Emission Scanning Electron Microscope (FE-SEM)</w:t>
      </w:r>
    </w:p>
    <w:p w14:paraId="5F2D7B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High Resolution Transmission Electron Microscope (HR-TEM)</w:t>
      </w:r>
    </w:p>
    <w:p w14:paraId="19CAE7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Fourier Transform Infrared Spectrometer (FTIR)</w:t>
      </w:r>
    </w:p>
    <w:p w14:paraId="03DFD4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Copper grids</w:t>
      </w:r>
    </w:p>
    <w:p w14:paraId="60240C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ImageJ software</w:t>
      </w:r>
    </w:p>
    <w:p w14:paraId="502A7A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$</w:t>
      </w:r>
    </w:p>
    <w:p w14:paraId="0F5125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Controls_and_validation:</w:t>
      </w:r>
    </w:p>
    <w:p w14:paraId="150800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Compare CNP alone vs. CNP/dsRNA complex. FTIR shifts indicate interaction. Microscopy confirms nanoparticle formation and any morphological changes post-loading.</w:t>
      </w:r>
    </w:p>
    <w:p w14:paraId="0EC3FE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$</w:t>
      </w:r>
    </w:p>
    <w:p w14:paraId="6120DE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Notes</w:t>
      </w:r>
    </w:p>
    <w:p w14:paraId="685BDA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These are characterization steps, not part of routine bioassay preparation. They are used for initial formulation validation and publication.</w:t>
      </w:r>
    </w:p>
    <w:p w14:paraId="4D649187">
      <w:pPr>
        <w:rPr>
          <w:rFonts w:hint="default"/>
          <w:lang w:val="en-US" w:eastAsia="zh-CN"/>
        </w:rPr>
      </w:pPr>
    </w:p>
    <w:p w14:paraId="3282CB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{}</w:t>
      </w:r>
    </w:p>
    <w:p w14:paraId="152A48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$</w:t>
      </w:r>
    </w:p>
    <w:p w14:paraId="6AE06B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Sub-protocol 6: Stability Assessment of CNP/dsRNA Complex</w:t>
      </w:r>
    </w:p>
    <w:p w14:paraId="280923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**[PROTOCOL_STAGE=FORMULATION_PREPARATION]**</w:t>
      </w:r>
    </w:p>
    <w:p w14:paraId="4DF3AD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$</w:t>
      </w:r>
    </w:p>
    <w:p w14:paraId="1903EA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Applicable when:</w:t>
      </w:r>
    </w:p>
    <w:p w14:paraId="15FE12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Testing the protective capacity of the chitosan nanohydrogel against environmental degradation factors relevant to field application (sunlight, UV, heat).</w:t>
      </w:r>
    </w:p>
    <w:p w14:paraId="13C21F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$</w:t>
      </w:r>
    </w:p>
    <w:p w14:paraId="7A508C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Purpose:</w:t>
      </w:r>
    </w:p>
    <w:p w14:paraId="074DB8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To evaluate if the CNP formulation enhances the durability of dsRNA compared to naked dsRNA under stressful conditions.</w:t>
      </w:r>
    </w:p>
    <w:p w14:paraId="3A93FC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$</w:t>
      </w:r>
    </w:p>
    <w:p w14:paraId="0081F4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Procedure:</w:t>
      </w:r>
    </w:p>
    <w:p w14:paraId="3B7EF7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 Sample Preparation: Prepare samples of naked dsRNA and CNP/dsRNA complex in aqueous solution.</w:t>
      </w:r>
    </w:p>
    <w:p w14:paraId="59958C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 Light Exposure Test:</w:t>
      </w:r>
    </w:p>
    <w:p w14:paraId="008C26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a.  Place 50 μL of each sample in an open glass petri dish (60 x 15 mm).</w:t>
      </w:r>
    </w:p>
    <w:p w14:paraId="371DAE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b.  Expose separately to direct sunlight and to an ultraviolet (UV) light source.</w:t>
      </w:r>
    </w:p>
    <w:p w14:paraId="5B7E01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c.  Collect samples at time points: 0, 1, 2, 4, 6, and 8 hours.</w:t>
      </w:r>
    </w:p>
    <w:p w14:paraId="26964F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 Heat Incubation Test:</w:t>
      </w:r>
    </w:p>
    <w:p w14:paraId="5A7E9A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a.  Place naked dsRNA and CNP/dsRNA samples (in 500 μL tubes) in a water bath at 37 °C.</w:t>
      </w:r>
    </w:p>
    <w:p w14:paraId="606ADF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b.  Collect samples at different time periods: 0, 1, 2, 4, 6, 8, and 12 hours, and also on different days (24, 48, and 72 hours).</w:t>
      </w:r>
    </w:p>
    <w:p w14:paraId="5AE964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 Analysis: After exposure/incubation, mix all collected samples with loading dye and analyze integrity via 1% agarose gel electrophoresis.</w:t>
      </w:r>
    </w:p>
    <w:p w14:paraId="35BA70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$</w:t>
      </w:r>
    </w:p>
    <w:p w14:paraId="7E2D19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Key materials and equipment:</w:t>
      </w:r>
    </w:p>
    <w:p w14:paraId="0A2E64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UV light source</w:t>
      </w:r>
    </w:p>
    <w:p w14:paraId="5A74FB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Water bath (37 °C)</w:t>
      </w:r>
    </w:p>
    <w:p w14:paraId="58C8AF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Glass petri dishes</w:t>
      </w:r>
    </w:p>
    <w:p w14:paraId="7021BF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Agarose gel electrophoresis system</w:t>
      </w:r>
    </w:p>
    <w:p w14:paraId="52F5EB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$</w:t>
      </w:r>
    </w:p>
    <w:p w14:paraId="62FA74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Controls_and_validation:</w:t>
      </w:r>
    </w:p>
    <w:p w14:paraId="21B3ED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Naked dsRNA serves as the degradation control. Protection is evidenced by the retained integrity (intact band) of CNP/dsRNA complex compared to the degraded (smeared/disappeared) naked dsRNA on the gel.</w:t>
      </w:r>
    </w:p>
    <w:p w14:paraId="073AC0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$</w:t>
      </w:r>
    </w:p>
    <w:p w14:paraId="0BBFFA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Notes</w:t>
      </w:r>
    </w:p>
    <w:p w14:paraId="0FF7F4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This protocol simulates field-relevant stressors. The time points can be adjusted based on the expected application scenario.</w:t>
      </w:r>
    </w:p>
    <w:p w14:paraId="03D3B5B5">
      <w:pPr>
        <w:rPr>
          <w:rFonts w:hint="default"/>
          <w:lang w:val="en-US" w:eastAsia="zh-CN"/>
        </w:rPr>
      </w:pPr>
    </w:p>
    <w:p w14:paraId="6A3EC1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{}</w:t>
      </w:r>
    </w:p>
    <w:p w14:paraId="37F2B8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$</w:t>
      </w:r>
    </w:p>
    <w:p w14:paraId="39DECA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Sub-protocol 7: Oral Bioassay for dsRNA Efficacy via Double Sandwich Parafilm Method</w:t>
      </w:r>
    </w:p>
    <w:p w14:paraId="472F73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**[PROTOCOL_STAGE=IN_VIVO_DELIVERY_FEEDING]**</w:t>
      </w:r>
    </w:p>
    <w:p w14:paraId="598CA8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$</w:t>
      </w:r>
    </w:p>
    <w:p w14:paraId="3A7D14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Applicable when:</w:t>
      </w:r>
    </w:p>
    <w:p w14:paraId="3ACB91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Administering dsRNA (naked or formulated) to sap-sucking insects like whiteflies through an artificial diet in a controlled feeding setup.</w:t>
      </w:r>
    </w:p>
    <w:p w14:paraId="051E6F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$</w:t>
      </w:r>
    </w:p>
    <w:p w14:paraId="618CB8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Purpose:</w:t>
      </w:r>
    </w:p>
    <w:p w14:paraId="62161C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To deliver a precise concentration of dsRNA to adult whiteflies and assess its biological activity (mortality) over time.</w:t>
      </w:r>
    </w:p>
    <w:p w14:paraId="5067C6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$</w:t>
      </w:r>
    </w:p>
    <w:p w14:paraId="211A60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Procedure:</w:t>
      </w:r>
    </w:p>
    <w:p w14:paraId="4D6DF4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 Diet Preparation: Prepare an artificial diet of 30% sucrose.</w:t>
      </w:r>
    </w:p>
    <w:p w14:paraId="76B375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 Formulation Incorporation: Mix the optimized CNP/dsRNA complex stock (e.g., 200:1 ratio, final concentration 10 ng/μL) into the sucrose diet at the desired test concentrations (e.g., 2.5%, 5.0%, 10%, 15% v/v).</w:t>
      </w:r>
    </w:p>
    <w:p w14:paraId="1120BB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 Feeding Chamber Setup: Use a double sandwich parafilm method. Place the diet formulation between two stretched parafilm layers to create a sachet.</w:t>
      </w:r>
    </w:p>
    <w:p w14:paraId="4439AE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 Insect Introduction: Gently introduce 30 adult whiteflies (one-day-old) into the feeding chamber/bioassay cage containing the diet sachet.</w:t>
      </w:r>
    </w:p>
    <w:p w14:paraId="32EB45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 Maintenance: Conduct the assay aseptically to prevent microbial contamination. Maintain insects under standard rearing conditions.</w:t>
      </w:r>
    </w:p>
    <w:p w14:paraId="6731E2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6.  Mortality Scoring: Record whitefly mortality at 24, 48, and 72 hours post-feeding initiation.</w:t>
      </w:r>
    </w:p>
    <w:p w14:paraId="75D3C0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7.  Replication: Repeat the entire experiment three times, with triplicates maintained for each concentration within each experiment.</w:t>
      </w:r>
    </w:p>
    <w:p w14:paraId="2530A1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$</w:t>
      </w:r>
    </w:p>
    <w:p w14:paraId="0B11D8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Key materials and equipment:</w:t>
      </w:r>
    </w:p>
    <w:p w14:paraId="6C3B80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Artificial diet (30% sucrose)</w:t>
      </w:r>
    </w:p>
    <w:p w14:paraId="23137B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Optimized CNP/dsRNA formulation stock</w:t>
      </w:r>
    </w:p>
    <w:p w14:paraId="0A3C34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Parafilm</w:t>
      </w:r>
    </w:p>
    <w:p w14:paraId="7F0064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Bioassay cages/chambers</w:t>
      </w:r>
    </w:p>
    <w:p w14:paraId="288162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Aspirator for handling whiteflies</w:t>
      </w:r>
    </w:p>
    <w:p w14:paraId="74DDA6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$</w:t>
      </w:r>
    </w:p>
    <w:p w14:paraId="5212C0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Controls_and_validation:</w:t>
      </w:r>
    </w:p>
    <w:p w14:paraId="62A498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Control: Non-conjugated chitosan hydrogel mixed with artificial diet (vehicle control). Positive control could be a known lethal dsRNA. Statistical analysis (ANOVA, Tukey's HSD) is used to compare mortality among concentrations and time points.</w:t>
      </w:r>
    </w:p>
    <w:p w14:paraId="597980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$</w:t>
      </w:r>
    </w:p>
    <w:p w14:paraId="65AB36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Notes</w:t>
      </w:r>
    </w:p>
    <w:p w14:paraId="19C6E0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Aseptic technique is crucial to avoid confounding mortality from microbial growth. The number of insects and replication scheme are designed for statistical robustness.</w:t>
      </w:r>
    </w:p>
    <w:p w14:paraId="1EE883AE">
      <w:pPr>
        <w:rPr>
          <w:rFonts w:hint="default"/>
          <w:lang w:val="en-US" w:eastAsia="zh-CN"/>
        </w:rPr>
      </w:pPr>
    </w:p>
    <w:p w14:paraId="1D612A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{}</w:t>
      </w:r>
    </w:p>
    <w:p w14:paraId="067236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$</w:t>
      </w:r>
    </w:p>
    <w:p w14:paraId="077A2E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Sub-protocol 8: Molecular Validation of Gene Knockdown via qRT-PCR</w:t>
      </w:r>
    </w:p>
    <w:p w14:paraId="283724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**[PROTOCOL_STAGE=QRT_PCR]**</w:t>
      </w:r>
    </w:p>
    <w:p w14:paraId="2ABBF7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$</w:t>
      </w:r>
    </w:p>
    <w:p w14:paraId="0ABF8D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Applicable when:</w:t>
      </w:r>
    </w:p>
    <w:p w14:paraId="3CA627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Quantifying the relative expression level of the target gene (EcR) in insects after exposure to dsRNA treatment, confirming RNAi mechanism at the molecular level.</w:t>
      </w:r>
    </w:p>
    <w:p w14:paraId="157716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$</w:t>
      </w:r>
    </w:p>
    <w:p w14:paraId="79A44C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Purpose:</w:t>
      </w:r>
    </w:p>
    <w:p w14:paraId="15C5C0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To measure the transcript-level knockdown of the target gene, providing molecular evidence for the phenotypic effects observed in the bioassay.</w:t>
      </w:r>
    </w:p>
    <w:p w14:paraId="43DFEF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$</w:t>
      </w:r>
    </w:p>
    <w:p w14:paraId="710E3C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Procedure:</w:t>
      </w:r>
    </w:p>
    <w:p w14:paraId="488A48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 Sample Collection: After 72 hours of feeding on CNP/dsRNA diet, collect surviving whiteflies from each biological replicate.</w:t>
      </w:r>
    </w:p>
    <w:p w14:paraId="428C95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 Total RNA Extraction: Extract total RNA from pooled whiteflies using a commercial kit (e.g., ISOLATE II RNA Mini Kit) following the manufacturer's protocol.</w:t>
      </w:r>
    </w:p>
    <w:p w14:paraId="1466CE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 cDNA Synthesis: Use 500 ng of total RNA for first-strand cDNA synthesis using a reverse transcription kit (e.g., RevertAid First Strand cDNA synthesis kit). Store cDNA at -20 °C.</w:t>
      </w:r>
    </w:p>
    <w:p w14:paraId="24EE92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 qRT-PCR Setup:</w:t>
      </w:r>
    </w:p>
    <w:p w14:paraId="754608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a.  Design primers for the target gene (EcR) and a stable reference gene (e.g., Elongation factor 1, EF1).</w:t>
      </w:r>
    </w:p>
    <w:p w14:paraId="3884A1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b.  Perform qPCR with an initial incubation at 95 °C for 1 min, followed by 40 cycles of: 95 °C for 5 s (denaturation) and 59 °C for 30 s (annealing/extension).</w:t>
      </w:r>
    </w:p>
    <w:p w14:paraId="5CE4C6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 Replication: Perform each experiment with three independent biological replicates (samples from independent treatments), with technical replicates.</w:t>
      </w:r>
    </w:p>
    <w:p w14:paraId="317BAF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6.  Data Analysis: Calculate relative expression levels using the 2-ΔΔCt method, comparing treated samples to the control group.</w:t>
      </w:r>
    </w:p>
    <w:p w14:paraId="4CB861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$</w:t>
      </w:r>
    </w:p>
    <w:p w14:paraId="78D9AA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Key materials and equipment:</w:t>
      </w:r>
    </w:p>
    <w:p w14:paraId="02745B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RNA extraction kit (ISOLATE II RNA Mini Kit)</w:t>
      </w:r>
    </w:p>
    <w:p w14:paraId="442A66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cDNA synthesis kit (RevertAid)</w:t>
      </w:r>
    </w:p>
    <w:p w14:paraId="0852B5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Real-time PCR system</w:t>
      </w:r>
    </w:p>
    <w:p w14:paraId="39FB9B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Primers for target (EcR) and reference (EF1) genes</w:t>
      </w:r>
    </w:p>
    <w:p w14:paraId="03B01D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$</w:t>
      </w:r>
    </w:p>
    <w:p w14:paraId="028B81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Controls_and_validation:</w:t>
      </w:r>
    </w:p>
    <w:p w14:paraId="28EB6B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Control group: Whiteflies fed on diet with non-conjugated chitosan hydrogel. Reference gene stability must be confirmed. The 2-ΔΔCt method normalizes target gene expression to the reference gene and the control group.</w:t>
      </w:r>
    </w:p>
    <w:p w14:paraId="5DE6BF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$</w:t>
      </w:r>
    </w:p>
    <w:p w14:paraId="488AB9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Notes</w:t>
      </w:r>
    </w:p>
    <w:p w14:paraId="600709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Sampling time (72h) is critical and based on the RNAi kinetics for the target. Primer specificity and reference gene stability are prerequisites for accurate quantification.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D96729A"/>
    <w:rsid w:val="35360243"/>
    <w:rsid w:val="546A296E"/>
    <w:rsid w:val="64BD64F5"/>
    <w:rsid w:val="66596C37"/>
    <w:rsid w:val="6DD410A3"/>
    <w:rsid w:val="6E7D3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Emphasis"/>
    <w:basedOn w:val="8"/>
    <w:qFormat/>
    <w:uiPriority w:val="0"/>
    <w:rPr>
      <w:i/>
    </w:rPr>
  </w:style>
  <w:style w:type="character" w:styleId="10">
    <w:name w:val="Hyperlink"/>
    <w:basedOn w:val="8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1491</Words>
  <Characters>8174</Characters>
  <Lines>0</Lines>
  <Paragraphs>0</Paragraphs>
  <TotalTime>4</TotalTime>
  <ScaleCrop>false</ScaleCrop>
  <LinksUpToDate>false</LinksUpToDate>
  <CharactersWithSpaces>9630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2026-01-16T09:10:00Z</dcterms:created>
  <dc:creator>DELL</dc:creator>
  <cp:lastModifiedBy>李宗桓</cp:lastModifiedBy>
  <dcterms:modified xsi:type="dcterms:W3CDTF">2026-01-20T03:12:28Z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eyJoZGlkIjoiYWVlYmU1NmYxYWM1MzkwYTkyM2MyOWY3NmQ4OTI3MWEiLCJ1c2VySWQiOiIxNzM5Mjk5NzkwIn0=</vt:lpwstr>
  </property>
  <property fmtid="{D5CDD505-2E9C-101B-9397-08002B2CF9AE}" pid="4" name="ICV">
    <vt:lpwstr>B16559CBBACC4B5382E84A217A23FA80_12</vt:lpwstr>
  </property>
</Properties>
</file>