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CD781">
      <w:pPr>
        <w:rPr>
          <w:rFonts w:hint="default"/>
        </w:rPr>
      </w:pPr>
      <w:r>
        <w:rPr>
          <w:rFonts w:hint="default"/>
        </w:rPr>
        <w:t>{}</w:t>
      </w:r>
    </w:p>
    <w:p w14:paraId="6FF5BC2F">
      <w:pPr>
        <w:rPr>
          <w:rFonts w:hint="default"/>
        </w:rPr>
      </w:pPr>
      <w:r>
        <w:rPr>
          <w:rFonts w:hint="default"/>
        </w:rPr>
        <w:t>$</w:t>
      </w:r>
    </w:p>
    <w:p w14:paraId="7F284F0A">
      <w:pPr>
        <w:rPr>
          <w:rFonts w:hint="default"/>
        </w:rPr>
      </w:pPr>
      <w:r>
        <w:rPr>
          <w:rFonts w:hint="default"/>
        </w:rPr>
        <w:t>RNAi by soaking mosquito pupae in dsRNA</w:t>
      </w:r>
    </w:p>
    <w:p w14:paraId="33204913">
      <w:pPr>
        <w:rPr>
          <w:rFonts w:hint="default"/>
        </w:rPr>
      </w:pPr>
      <w:r>
        <w:rPr>
          <w:rFonts w:hint="default"/>
        </w:rPr>
        <w:t>- Source: Insects 2021</w:t>
      </w:r>
    </w:p>
    <w:p w14:paraId="1CC51B5B">
      <w:pPr>
        <w:rPr>
          <w:rFonts w:hint="default"/>
        </w:rPr>
      </w:pPr>
      <w:r>
        <w:rPr>
          <w:rFonts w:hint="default"/>
        </w:rPr>
        <w:t>- DOI: 10.3390/insects12070634</w:t>
      </w:r>
    </w:p>
    <w:p w14:paraId="6C446E50">
      <w:pPr>
        <w:rPr>
          <w:rFonts w:hint="default"/>
        </w:rPr>
      </w:pPr>
      <w:r>
        <w:rPr>
          <w:rFonts w:hint="default"/>
        </w:rPr>
        <w:t>- Scope: A method for inducing RNA interference (RNAi) in aquatic mosquito pupae by simple soaking in dsRNA solution.</w:t>
      </w:r>
    </w:p>
    <w:p w14:paraId="3FB2A3D7">
      <w:pPr>
        <w:rPr>
          <w:rFonts w:hint="default"/>
        </w:rPr>
      </w:pPr>
      <w:r>
        <w:rPr>
          <w:rFonts w:hint="default"/>
        </w:rPr>
        <w:t>- Study_type: functional genomics, gene knockdown method development</w:t>
      </w:r>
    </w:p>
    <w:p w14:paraId="5F9BE49F">
      <w:pPr>
        <w:rPr>
          <w:rFonts w:hint="default"/>
        </w:rPr>
      </w:pPr>
      <w:r>
        <w:rPr>
          <w:rFonts w:hint="default"/>
        </w:rPr>
        <w:t>- Target_context: Gene function analysis in pupal and subsequent adult stages</w:t>
      </w:r>
    </w:p>
    <w:p w14:paraId="2AF8D934">
      <w:pPr>
        <w:rPr>
          <w:rFonts w:hint="default"/>
        </w:rPr>
      </w:pPr>
      <w:r>
        <w:rPr>
          <w:rFonts w:hint="default"/>
        </w:rPr>
        <w:t>- Organism_or_system: Aedes aegypti (mosquito)</w:t>
      </w:r>
    </w:p>
    <w:p w14:paraId="2D0BFD68">
      <w:pPr>
        <w:rPr>
          <w:rFonts w:hint="default"/>
        </w:rPr>
      </w:pPr>
      <w:r>
        <w:rPr>
          <w:rFonts w:hint="default"/>
        </w:rPr>
        <w:t>- Delivery_or_intervention_mode: soaking (aquatic immersion)</w:t>
      </w:r>
    </w:p>
    <w:p w14:paraId="3A35AD3A">
      <w:pPr>
        <w:rPr>
          <w:rFonts w:hint="default"/>
        </w:rPr>
      </w:pPr>
      <w:r>
        <w:rPr>
          <w:rFonts w:hint="default"/>
        </w:rPr>
        <w:t>$</w:t>
      </w:r>
    </w:p>
    <w:p w14:paraId="59D5F42E">
      <w:pPr>
        <w:rPr>
          <w:rFonts w:hint="default"/>
        </w:rPr>
      </w:pPr>
      <w:r>
        <w:rPr>
          <w:rFonts w:hint="default"/>
        </w:rPr>
        <w:t>Metadata</w:t>
      </w:r>
    </w:p>
    <w:p w14:paraId="7B397A06">
      <w:pPr>
        <w:rPr>
          <w:rFonts w:hint="default"/>
        </w:rPr>
      </w:pPr>
      <w:r>
        <w:rPr>
          <w:rFonts w:hint="default"/>
        </w:rPr>
        <w:t>Source: Insects 2021</w:t>
      </w:r>
    </w:p>
    <w:p w14:paraId="720352EB">
      <w:pPr>
        <w:rPr>
          <w:rFonts w:hint="default"/>
        </w:rPr>
      </w:pPr>
      <w:r>
        <w:rPr>
          <w:rFonts w:hint="default"/>
        </w:rPr>
        <w:t>DOI: 10.3390/insects12070634</w:t>
      </w:r>
    </w:p>
    <w:p w14:paraId="1C99712D">
      <w:pPr>
        <w:rPr>
          <w:rFonts w:hint="default"/>
        </w:rPr>
      </w:pPr>
      <w:r>
        <w:rPr>
          <w:rFonts w:hint="default"/>
        </w:rPr>
        <w:t>Scope: Development and validation of a simple soaking method to deliver dsRNA to mosquito pupae for RNAi-mediated gene knockdown, with persistence into adulthood.</w:t>
      </w:r>
    </w:p>
    <w:p w14:paraId="5314C421">
      <w:pPr>
        <w:rPr>
          <w:rFonts w:hint="default"/>
        </w:rPr>
      </w:pPr>
      <w:r>
        <w:rPr>
          <w:rFonts w:hint="default"/>
        </w:rPr>
        <w:t>Study_type: Method development and validation</w:t>
      </w:r>
    </w:p>
    <w:p w14:paraId="783533A3">
      <w:pPr>
        <w:rPr>
          <w:rFonts w:hint="default"/>
        </w:rPr>
      </w:pPr>
      <w:r>
        <w:rPr>
          <w:rFonts w:hint="default"/>
        </w:rPr>
        <w:t>Organism: Aedes aegypti (UGAL strain)</w:t>
      </w:r>
    </w:p>
    <w:p w14:paraId="0F24D775">
      <w:pPr>
        <w:rPr>
          <w:rFonts w:hint="default"/>
        </w:rPr>
      </w:pPr>
      <w:r>
        <w:rPr>
          <w:rFonts w:hint="default"/>
        </w:rPr>
        <w:t>Developmental_stage: Pupae (0-4 hours old) and resulting adults</w:t>
      </w:r>
    </w:p>
    <w:p w14:paraId="6C52A091">
      <w:pPr>
        <w:rPr>
          <w:rFonts w:hint="default"/>
        </w:rPr>
      </w:pPr>
      <w:r>
        <w:rPr>
          <w:rFonts w:hint="default"/>
        </w:rPr>
        <w:t>Delivery_mode: Soaking (immersion in aqueous solution)</w:t>
      </w:r>
    </w:p>
    <w:p w14:paraId="14CB0FAF">
      <w:pPr>
        <w:rPr>
          <w:rFonts w:hint="default"/>
        </w:rPr>
      </w:pPr>
      <w:r>
        <w:rPr>
          <w:rFonts w:hint="default"/>
        </w:rPr>
        <w:t>Molecule_or_intervention_type: dsRNA (targeting CYP4G35 gene; EGFP control)</w:t>
      </w:r>
    </w:p>
    <w:p w14:paraId="02F89BA5">
      <w:pPr>
        <w:rPr>
          <w:rFonts w:hint="default"/>
        </w:rPr>
      </w:pPr>
      <w:r>
        <w:rPr>
          <w:rFonts w:hint="default"/>
        </w:rPr>
        <w:t>Application_context: Laboratory functional genomics</w:t>
      </w:r>
    </w:p>
    <w:p w14:paraId="5BC90DBE">
      <w:pPr>
        <w:rPr>
          <w:rFonts w:hint="default"/>
        </w:rPr>
      </w:pPr>
      <w:r>
        <w:rPr>
          <w:rFonts w:hint="default"/>
        </w:rPr>
        <w:t>Validation_level: molecular (qRT-PCR confirmation of knockdown)</w:t>
      </w:r>
    </w:p>
    <w:p w14:paraId="28EA9679">
      <w:pPr>
        <w:rPr>
          <w:rFonts w:hint="default"/>
        </w:rPr>
      </w:pPr>
      <w:r>
        <w:rPr>
          <w:rFonts w:hint="default"/>
        </w:rPr>
        <w:t>Target_gene_or_pathway: CYP4G35 (cytochrome P450 gene)</w:t>
      </w:r>
    </w:p>
    <w:p w14:paraId="09C304CB">
      <w:pPr>
        <w:rPr>
          <w:rFonts w:hint="default"/>
        </w:rPr>
      </w:pPr>
      <w:r>
        <w:rPr>
          <w:rFonts w:hint="default"/>
        </w:rPr>
        <w:t>$</w:t>
      </w:r>
    </w:p>
    <w:p w14:paraId="4ED5B79E">
      <w:pPr>
        <w:rPr>
          <w:rFonts w:hint="default"/>
        </w:rPr>
      </w:pPr>
      <w:r>
        <w:rPr>
          <w:rFonts w:hint="default"/>
        </w:rPr>
        <w:t>Usage note</w:t>
      </w:r>
    </w:p>
    <w:p w14:paraId="40D1B95D">
      <w:pPr>
        <w:rPr>
          <w:rFonts w:hint="default"/>
        </w:rPr>
      </w:pPr>
      <w:r>
        <w:rPr>
          <w:rFonts w:hint="default"/>
        </w:rPr>
        <w:t>This document is intended for experimental workflow guidance and protocol-level reasoning.</w:t>
      </w:r>
    </w:p>
    <w:p w14:paraId="79C4F164">
      <w:pPr>
        <w:rPr>
          <w:rFonts w:hint="default"/>
        </w:rPr>
      </w:pPr>
      <w:r>
        <w:rPr>
          <w:rFonts w:hint="default"/>
        </w:rPr>
        <w:t>Numerical parameters and optimization details should be adapted to specific experimental contexts.</w:t>
      </w:r>
    </w:p>
    <w:p w14:paraId="05DAFB5A">
      <w:pPr>
        <w:rPr>
          <w:rFonts w:hint="default"/>
        </w:rPr>
      </w:pPr>
    </w:p>
    <w:p w14:paraId="0766EBFF">
      <w:pPr>
        <w:rPr>
          <w:rFonts w:hint="default"/>
        </w:rPr>
      </w:pPr>
      <w:r>
        <w:rPr>
          <w:rFonts w:hint="default"/>
        </w:rPr>
        <w:t>{}</w:t>
      </w:r>
    </w:p>
    <w:p w14:paraId="2FEA2241">
      <w:pPr>
        <w:rPr>
          <w:rFonts w:hint="default"/>
        </w:rPr>
      </w:pPr>
      <w:r>
        <w:rPr>
          <w:rFonts w:hint="default"/>
        </w:rPr>
        <w:t>$</w:t>
      </w:r>
    </w:p>
    <w:p w14:paraId="69CB595A">
      <w:pPr>
        <w:rPr>
          <w:rFonts w:hint="default"/>
        </w:rPr>
      </w:pPr>
      <w:r>
        <w:rPr>
          <w:rFonts w:hint="default"/>
        </w:rPr>
        <w:t>Sub-protocol 1: Synchronized Mosquito Rearing for Pupal Collection</w:t>
      </w:r>
    </w:p>
    <w:p w14:paraId="71F3727B">
      <w:pPr>
        <w:rPr>
          <w:rFonts w:hint="default"/>
        </w:rPr>
      </w:pPr>
      <w:r>
        <w:rPr>
          <w:rFonts w:hint="default"/>
        </w:rPr>
        <w:t>**[PROTOCOL_STAGE=ORGANISM_REARING]**</w:t>
      </w:r>
    </w:p>
    <w:p w14:paraId="2CC5DEC8">
      <w:pPr>
        <w:rPr>
          <w:rFonts w:hint="default"/>
        </w:rPr>
      </w:pPr>
      <w:r>
        <w:rPr>
          <w:rFonts w:hint="default"/>
        </w:rPr>
        <w:t>$</w:t>
      </w:r>
    </w:p>
    <w:p w14:paraId="5290A38D">
      <w:pPr>
        <w:rPr>
          <w:rFonts w:hint="default"/>
        </w:rPr>
      </w:pPr>
      <w:r>
        <w:rPr>
          <w:rFonts w:hint="default"/>
        </w:rPr>
        <w:t>Applicable when:</w:t>
      </w:r>
    </w:p>
    <w:p w14:paraId="2E6CA8FF">
      <w:pPr>
        <w:rPr>
          <w:rFonts w:hint="default"/>
        </w:rPr>
      </w:pPr>
      <w:r>
        <w:rPr>
          <w:rFonts w:hint="default"/>
        </w:rPr>
        <w:t>Generating a large, age-synchronized cohort of mosquito pupae for soaking-based RNAi experiments.</w:t>
      </w:r>
    </w:p>
    <w:p w14:paraId="546C6F0D">
      <w:pPr>
        <w:rPr>
          <w:rFonts w:hint="default"/>
        </w:rPr>
      </w:pPr>
      <w:r>
        <w:rPr>
          <w:rFonts w:hint="default"/>
        </w:rPr>
        <w:t>$</w:t>
      </w:r>
    </w:p>
    <w:p w14:paraId="53CABFDF">
      <w:pPr>
        <w:rPr>
          <w:rFonts w:hint="default"/>
        </w:rPr>
      </w:pPr>
      <w:r>
        <w:rPr>
          <w:rFonts w:hint="default"/>
        </w:rPr>
        <w:t>Purpose:</w:t>
      </w:r>
    </w:p>
    <w:p w14:paraId="31F976CB">
      <w:pPr>
        <w:rPr>
          <w:rFonts w:hint="default"/>
        </w:rPr>
      </w:pPr>
      <w:r>
        <w:rPr>
          <w:rFonts w:hint="default"/>
        </w:rPr>
        <w:t>To produce a sufficient number of healthy, newly molted pupae of precise age (0-4 hours old) required for the soaking assay.</w:t>
      </w:r>
    </w:p>
    <w:p w14:paraId="6C2D6062">
      <w:pPr>
        <w:rPr>
          <w:rFonts w:hint="default"/>
        </w:rPr>
      </w:pPr>
      <w:r>
        <w:rPr>
          <w:rFonts w:hint="default"/>
        </w:rPr>
        <w:t>$</w:t>
      </w:r>
    </w:p>
    <w:p w14:paraId="37FE05D1">
      <w:pPr>
        <w:rPr>
          <w:rFonts w:hint="default"/>
        </w:rPr>
      </w:pPr>
      <w:r>
        <w:rPr>
          <w:rFonts w:hint="default"/>
        </w:rPr>
        <w:t>Procedure:</w:t>
      </w:r>
    </w:p>
    <w:p w14:paraId="5B25942A">
      <w:pPr>
        <w:rPr>
          <w:rFonts w:hint="default"/>
        </w:rPr>
      </w:pPr>
      <w:r>
        <w:rPr>
          <w:rFonts w:hint="default"/>
        </w:rPr>
        <w:t>1.  Colony Maintenance: Maintain Aedes aegypti (UGAL strain) colonies at 27 °C, 78% relative humidity, with a 16:8 hour (Light:Dark) photoperiod.</w:t>
      </w:r>
    </w:p>
    <w:p w14:paraId="448EA3A7">
      <w:pPr>
        <w:rPr>
          <w:rFonts w:hint="default"/>
        </w:rPr>
      </w:pPr>
      <w:r>
        <w:rPr>
          <w:rFonts w:hint="default"/>
        </w:rPr>
        <w:t>2.  Egg Hatching: Hatch eggs overnight in small plastic cups containing deionized water.</w:t>
      </w:r>
    </w:p>
    <w:p w14:paraId="1E9E1988">
      <w:pPr>
        <w:rPr>
          <w:rFonts w:hint="default"/>
        </w:rPr>
      </w:pPr>
      <w:r>
        <w:rPr>
          <w:rFonts w:hint="default"/>
        </w:rPr>
        <w:t>3.  Larval Rearing: Count out 150 first instar larvae and rear them in 500 mL of deionized water in a rearing pan.</w:t>
      </w:r>
    </w:p>
    <w:p w14:paraId="1407E858">
      <w:pPr>
        <w:rPr>
          <w:rFonts w:hint="default"/>
        </w:rPr>
      </w:pPr>
      <w:r>
        <w:rPr>
          <w:rFonts w:hint="default"/>
        </w:rPr>
        <w:t>4.  Feeding: Feed larvae a standardized powdered fish food diet (e.g., Tetramin).</w:t>
      </w:r>
    </w:p>
    <w:p w14:paraId="3ABC9846">
      <w:pPr>
        <w:rPr>
          <w:rFonts w:hint="default"/>
        </w:rPr>
      </w:pPr>
      <w:r>
        <w:rPr>
          <w:rFonts w:hint="default"/>
        </w:rPr>
        <w:t>5.  Synchronization: Implement a strict feeding regimen to achieve synchronized pupation. Male pupae will typically appear 10-12 hours before females.</w:t>
      </w:r>
    </w:p>
    <w:p w14:paraId="60714982">
      <w:pPr>
        <w:rPr>
          <w:rFonts w:hint="default"/>
        </w:rPr>
      </w:pPr>
      <w:r>
        <w:rPr>
          <w:rFonts w:hint="default"/>
        </w:rPr>
        <w:t>6.  Pupae Collection: Set up 6-8 trays of 150 larvae each. In the morning, remove all pupae from trays. Collect only those that have molted within the last 4 hours (0-4 hours old). Select pupae that are still light brown in color.</w:t>
      </w:r>
    </w:p>
    <w:p w14:paraId="64A750DA">
      <w:pPr>
        <w:rPr>
          <w:rFonts w:hint="default"/>
        </w:rPr>
      </w:pPr>
      <w:r>
        <w:rPr>
          <w:rFonts w:hint="default"/>
        </w:rPr>
        <w:t>$</w:t>
      </w:r>
    </w:p>
    <w:p w14:paraId="74156821">
      <w:pPr>
        <w:rPr>
          <w:rFonts w:hint="default"/>
        </w:rPr>
      </w:pPr>
      <w:r>
        <w:rPr>
          <w:rFonts w:hint="default"/>
        </w:rPr>
        <w:t>Key materials and equipment:</w:t>
      </w:r>
    </w:p>
    <w:p w14:paraId="26D62EDF">
      <w:pPr>
        <w:rPr>
          <w:rFonts w:hint="default"/>
        </w:rPr>
      </w:pPr>
      <w:r>
        <w:rPr>
          <w:rFonts w:hint="default"/>
        </w:rPr>
        <w:t>- Aedes aegypti colony</w:t>
      </w:r>
    </w:p>
    <w:p w14:paraId="47EA01E8">
      <w:pPr>
        <w:rPr>
          <w:rFonts w:hint="default"/>
        </w:rPr>
      </w:pPr>
      <w:r>
        <w:rPr>
          <w:rFonts w:hint="default"/>
        </w:rPr>
        <w:t>- Rearing pans</w:t>
      </w:r>
    </w:p>
    <w:p w14:paraId="49CB6E07">
      <w:pPr>
        <w:rPr>
          <w:rFonts w:hint="default"/>
        </w:rPr>
      </w:pPr>
      <w:r>
        <w:rPr>
          <w:rFonts w:hint="default"/>
        </w:rPr>
        <w:t>- Powdered fish food (e.g., Tetramin)</w:t>
      </w:r>
    </w:p>
    <w:p w14:paraId="4DC09781">
      <w:pPr>
        <w:rPr>
          <w:rFonts w:hint="default"/>
        </w:rPr>
      </w:pPr>
      <w:r>
        <w:rPr>
          <w:rFonts w:hint="default"/>
        </w:rPr>
        <w:t>- Environmental chamber (control temp, humidity, photoperiod)</w:t>
      </w:r>
    </w:p>
    <w:p w14:paraId="155CCAD3">
      <w:pPr>
        <w:rPr>
          <w:rFonts w:hint="default"/>
        </w:rPr>
      </w:pPr>
      <w:r>
        <w:rPr>
          <w:rFonts w:hint="default"/>
        </w:rPr>
        <w:t>- Fine paintbrush for pupal handling</w:t>
      </w:r>
    </w:p>
    <w:p w14:paraId="32EFC99F">
      <w:pPr>
        <w:rPr>
          <w:rFonts w:hint="default"/>
        </w:rPr>
      </w:pPr>
      <w:r>
        <w:rPr>
          <w:rFonts w:hint="default"/>
        </w:rPr>
        <w:t>$</w:t>
      </w:r>
    </w:p>
    <w:p w14:paraId="6DE7D577">
      <w:pPr>
        <w:rPr>
          <w:rFonts w:hint="default"/>
        </w:rPr>
      </w:pPr>
      <w:r>
        <w:rPr>
          <w:rFonts w:hint="default"/>
        </w:rPr>
        <w:t>Controls_and_validation:</w:t>
      </w:r>
    </w:p>
    <w:p w14:paraId="1A8BF368">
      <w:pPr>
        <w:rPr>
          <w:rFonts w:hint="default"/>
        </w:rPr>
      </w:pPr>
      <w:r>
        <w:rPr>
          <w:rFonts w:hint="default"/>
        </w:rPr>
        <w:t>Successful synchronization is indicated by the bulk appearance of pupae within a narrow time window. Pupal age is validated by color (light brown for newly molted).</w:t>
      </w:r>
    </w:p>
    <w:p w14:paraId="13051A75">
      <w:pPr>
        <w:rPr>
          <w:rFonts w:hint="default"/>
        </w:rPr>
      </w:pPr>
      <w:r>
        <w:rPr>
          <w:rFonts w:hint="default"/>
        </w:rPr>
        <w:t>$</w:t>
      </w:r>
    </w:p>
    <w:p w14:paraId="6C6BB05A">
      <w:pPr>
        <w:rPr>
          <w:rFonts w:hint="default"/>
        </w:rPr>
      </w:pPr>
      <w:r>
        <w:rPr>
          <w:rFonts w:hint="default"/>
        </w:rPr>
        <w:t>Notes</w:t>
      </w:r>
    </w:p>
    <w:p w14:paraId="581C64B8">
      <w:pPr>
        <w:rPr>
          <w:rFonts w:hint="default"/>
        </w:rPr>
      </w:pPr>
      <w:r>
        <w:rPr>
          <w:rFonts w:hint="default"/>
        </w:rPr>
        <w:t>A strict feeding schedule is critical for synchronization. Handle newly molted pupae with extreme care using a soft paintbrush to avoid injury.</w:t>
      </w:r>
    </w:p>
    <w:p w14:paraId="6D6D9B3D">
      <w:pPr>
        <w:rPr>
          <w:rFonts w:hint="default"/>
        </w:rPr>
      </w:pPr>
    </w:p>
    <w:p w14:paraId="668E3ACA">
      <w:pPr>
        <w:rPr>
          <w:rFonts w:hint="default"/>
        </w:rPr>
      </w:pPr>
      <w:r>
        <w:rPr>
          <w:rFonts w:hint="default"/>
        </w:rPr>
        <w:t>{}</w:t>
      </w:r>
    </w:p>
    <w:p w14:paraId="41AC063F">
      <w:pPr>
        <w:rPr>
          <w:rFonts w:hint="default"/>
        </w:rPr>
      </w:pPr>
      <w:r>
        <w:rPr>
          <w:rFonts w:hint="default"/>
        </w:rPr>
        <w:t>$</w:t>
      </w:r>
    </w:p>
    <w:p w14:paraId="1A123F62">
      <w:pPr>
        <w:rPr>
          <w:rFonts w:hint="default"/>
        </w:rPr>
      </w:pPr>
      <w:r>
        <w:rPr>
          <w:rFonts w:hint="default"/>
        </w:rPr>
        <w:t>Sub-protocol 2: High-Yield In vitro Synthesis of dsRNA for Soaking</w:t>
      </w:r>
    </w:p>
    <w:p w14:paraId="5E950293">
      <w:pPr>
        <w:rPr>
          <w:rFonts w:hint="default"/>
        </w:rPr>
      </w:pPr>
      <w:r>
        <w:rPr>
          <w:rFonts w:hint="default"/>
        </w:rPr>
        <w:t>**[PROTOCOL_STAGE=DSRNA_SYNTHESIS]**</w:t>
      </w:r>
    </w:p>
    <w:p w14:paraId="1EE99B30">
      <w:pPr>
        <w:rPr>
          <w:rFonts w:hint="default"/>
        </w:rPr>
      </w:pPr>
      <w:r>
        <w:rPr>
          <w:rFonts w:hint="default"/>
        </w:rPr>
        <w:t>$</w:t>
      </w:r>
    </w:p>
    <w:p w14:paraId="34F8FDFB">
      <w:pPr>
        <w:rPr>
          <w:rFonts w:hint="default"/>
        </w:rPr>
      </w:pPr>
      <w:r>
        <w:rPr>
          <w:rFonts w:hint="default"/>
        </w:rPr>
        <w:t>Applicable when:</w:t>
      </w:r>
    </w:p>
    <w:p w14:paraId="29064FB1">
      <w:pPr>
        <w:rPr>
          <w:rFonts w:hint="default"/>
        </w:rPr>
      </w:pPr>
      <w:r>
        <w:rPr>
          <w:rFonts w:hint="default"/>
        </w:rPr>
        <w:t>Producing the large quantities of dsRNA required for soaking assays, where dsRNA is diluted in a larger volume of water.</w:t>
      </w:r>
    </w:p>
    <w:p w14:paraId="198432EA">
      <w:pPr>
        <w:rPr>
          <w:rFonts w:hint="default"/>
        </w:rPr>
      </w:pPr>
      <w:r>
        <w:rPr>
          <w:rFonts w:hint="default"/>
        </w:rPr>
        <w:t>$</w:t>
      </w:r>
    </w:p>
    <w:p w14:paraId="3C494A58">
      <w:pPr>
        <w:rPr>
          <w:rFonts w:hint="default"/>
        </w:rPr>
      </w:pPr>
      <w:r>
        <w:rPr>
          <w:rFonts w:hint="default"/>
        </w:rPr>
        <w:t>Purpose:</w:t>
      </w:r>
    </w:p>
    <w:p w14:paraId="62EAB63C">
      <w:pPr>
        <w:rPr>
          <w:rFonts w:hint="default"/>
        </w:rPr>
      </w:pPr>
      <w:r>
        <w:rPr>
          <w:rFonts w:hint="default"/>
        </w:rPr>
        <w:t>To generate microgram quantities of specific dsRNA with high concentration (&gt;2.5 µg/µL) suitable for direct addition to soaking wells.</w:t>
      </w:r>
    </w:p>
    <w:p w14:paraId="7393BF1D">
      <w:pPr>
        <w:rPr>
          <w:rFonts w:hint="default"/>
        </w:rPr>
      </w:pPr>
      <w:r>
        <w:rPr>
          <w:rFonts w:hint="default"/>
        </w:rPr>
        <w:t>$</w:t>
      </w:r>
    </w:p>
    <w:p w14:paraId="1CC3E06C">
      <w:pPr>
        <w:rPr>
          <w:rFonts w:hint="default"/>
        </w:rPr>
      </w:pPr>
      <w:r>
        <w:rPr>
          <w:rFonts w:hint="default"/>
        </w:rPr>
        <w:t>Procedure:</w:t>
      </w:r>
    </w:p>
    <w:p w14:paraId="1A5CD4C4">
      <w:pPr>
        <w:rPr>
          <w:rFonts w:hint="default"/>
        </w:rPr>
      </w:pPr>
      <w:r>
        <w:rPr>
          <w:rFonts w:hint="default"/>
        </w:rPr>
        <w:t>1.  Template Design &amp; Amplification:</w:t>
      </w:r>
    </w:p>
    <w:p w14:paraId="718121C5">
      <w:pPr>
        <w:rPr>
          <w:rFonts w:hint="default"/>
        </w:rPr>
      </w:pPr>
      <w:r>
        <w:rPr>
          <w:rFonts w:hint="default"/>
        </w:rPr>
        <w:t xml:space="preserve">    a.  Design gene-specific primers with T7 promoter sequences appended to the 5' end.</w:t>
      </w:r>
    </w:p>
    <w:p w14:paraId="74600294">
      <w:pPr>
        <w:rPr>
          <w:rFonts w:hint="default"/>
        </w:rPr>
      </w:pPr>
      <w:r>
        <w:rPr>
          <w:rFonts w:hint="default"/>
        </w:rPr>
        <w:t xml:space="preserve">    b.  Amplify the target template from cDNA using a two-step PCR program:</w:t>
      </w:r>
    </w:p>
    <w:p w14:paraId="53C589DD">
      <w:pPr>
        <w:rPr>
          <w:rFonts w:hint="default"/>
        </w:rPr>
      </w:pPr>
      <w:r>
        <w:rPr>
          <w:rFonts w:hint="default"/>
        </w:rPr>
        <w:t xml:space="preserve">        - Step 1: 95°C for 5 min; then 5 cycles of: 95°C for 30s, 55°C for 30s, 72°C for 30s.</w:t>
      </w:r>
    </w:p>
    <w:p w14:paraId="138E3A65">
      <w:pPr>
        <w:rPr>
          <w:rFonts w:hint="default"/>
        </w:rPr>
      </w:pPr>
      <w:r>
        <w:rPr>
          <w:rFonts w:hint="default"/>
        </w:rPr>
        <w:t xml:space="preserve">        - Step 2: 35 cycles of: 95°C for 30s, 65°C for 30s, 72°C for 30s; final extension at 72°C for 10 min.</w:t>
      </w:r>
    </w:p>
    <w:p w14:paraId="58FC9579">
      <w:pPr>
        <w:rPr>
          <w:rFonts w:hint="default"/>
        </w:rPr>
      </w:pPr>
      <w:r>
        <w:rPr>
          <w:rFonts w:hint="default"/>
        </w:rPr>
        <w:t xml:space="preserve">    c.  Purify the PCR product (e.g., using Zymo PCR purification kit).</w:t>
      </w:r>
    </w:p>
    <w:p w14:paraId="2B1C9215">
      <w:pPr>
        <w:rPr>
          <w:rFonts w:hint="default"/>
        </w:rPr>
      </w:pPr>
      <w:r>
        <w:rPr>
          <w:rFonts w:hint="default"/>
        </w:rPr>
        <w:t>2.  Scaled-Up In vitro Transcription:</w:t>
      </w:r>
    </w:p>
    <w:p w14:paraId="111290FF">
      <w:pPr>
        <w:rPr>
          <w:rFonts w:hint="default"/>
        </w:rPr>
      </w:pPr>
      <w:r>
        <w:rPr>
          <w:rFonts w:hint="default"/>
        </w:rPr>
        <w:t xml:space="preserve">    a.  Use 1 µg of purified PCR product as template per 20 µL transcription reaction.</w:t>
      </w:r>
    </w:p>
    <w:p w14:paraId="30EDC71C">
      <w:pPr>
        <w:rPr>
          <w:rFonts w:hint="default"/>
        </w:rPr>
      </w:pPr>
      <w:r>
        <w:rPr>
          <w:rFonts w:hint="default"/>
        </w:rPr>
        <w:t xml:space="preserve">    b.  Set up 5 identical reactions per target gene to scale up yield.</w:t>
      </w:r>
    </w:p>
    <w:p w14:paraId="2C3DFE4F">
      <w:pPr>
        <w:rPr>
          <w:rFonts w:hint="default"/>
        </w:rPr>
      </w:pPr>
      <w:r>
        <w:rPr>
          <w:rFonts w:hint="default"/>
        </w:rPr>
        <w:t xml:space="preserve">    c.  Use a commercial T7 transcription kit (e.g., Ambion Megascript).</w:t>
      </w:r>
    </w:p>
    <w:p w14:paraId="70C6168F">
      <w:pPr>
        <w:rPr>
          <w:rFonts w:hint="default"/>
        </w:rPr>
      </w:pPr>
      <w:r>
        <w:rPr>
          <w:rFonts w:hint="default"/>
        </w:rPr>
        <w:t xml:space="preserve">    d.  Incubate the transcription reaction for 16 hours (extended time).</w:t>
      </w:r>
    </w:p>
    <w:p w14:paraId="6938FF7D">
      <w:pPr>
        <w:rPr>
          <w:rFonts w:hint="default"/>
        </w:rPr>
      </w:pPr>
      <w:r>
        <w:rPr>
          <w:rFonts w:hint="default"/>
        </w:rPr>
        <w:t>3.  Outcome: This scaled-up protocol yields approximately 25 µg of dsRNA per microliter of transcription reaction.</w:t>
      </w:r>
    </w:p>
    <w:p w14:paraId="76E4F6D0">
      <w:pPr>
        <w:rPr>
          <w:rFonts w:hint="default"/>
        </w:rPr>
      </w:pPr>
      <w:r>
        <w:rPr>
          <w:rFonts w:hint="default"/>
        </w:rPr>
        <w:t>4.  Preparation for Soaking: Dilute the concentrated dsRNA stock to a working concentration of 2.5 µg/µL in nuclease-free water.</w:t>
      </w:r>
    </w:p>
    <w:p w14:paraId="19B4108C">
      <w:pPr>
        <w:rPr>
          <w:rFonts w:hint="default"/>
        </w:rPr>
      </w:pPr>
      <w:r>
        <w:rPr>
          <w:rFonts w:hint="default"/>
        </w:rPr>
        <w:t>$</w:t>
      </w:r>
    </w:p>
    <w:p w14:paraId="0CDE6AAB">
      <w:pPr>
        <w:rPr>
          <w:rFonts w:hint="default"/>
        </w:rPr>
      </w:pPr>
      <w:r>
        <w:rPr>
          <w:rFonts w:hint="default"/>
        </w:rPr>
        <w:t>Key materials and equipment:</w:t>
      </w:r>
    </w:p>
    <w:p w14:paraId="6F33874B">
      <w:pPr>
        <w:rPr>
          <w:rFonts w:hint="default"/>
        </w:rPr>
      </w:pPr>
      <w:r>
        <w:rPr>
          <w:rFonts w:hint="default"/>
        </w:rPr>
        <w:t>- T7 promoter-tailed primers</w:t>
      </w:r>
    </w:p>
    <w:p w14:paraId="10B16B2B">
      <w:pPr>
        <w:rPr>
          <w:rFonts w:hint="default"/>
        </w:rPr>
      </w:pPr>
      <w:r>
        <w:rPr>
          <w:rFonts w:hint="default"/>
        </w:rPr>
        <w:t>- High-fidelity PCR system</w:t>
      </w:r>
    </w:p>
    <w:p w14:paraId="575A579B">
      <w:pPr>
        <w:rPr>
          <w:rFonts w:hint="default"/>
        </w:rPr>
      </w:pPr>
      <w:r>
        <w:rPr>
          <w:rFonts w:hint="default"/>
        </w:rPr>
        <w:t>- PCR purification kit</w:t>
      </w:r>
    </w:p>
    <w:p w14:paraId="18E6DBAC">
      <w:pPr>
        <w:rPr>
          <w:rFonts w:hint="default"/>
        </w:rPr>
      </w:pPr>
      <w:r>
        <w:rPr>
          <w:rFonts w:hint="default"/>
        </w:rPr>
        <w:t>- T7 in vitro transcription kit (Ambion Megascript)</w:t>
      </w:r>
    </w:p>
    <w:p w14:paraId="715A4891">
      <w:pPr>
        <w:rPr>
          <w:rFonts w:hint="default"/>
        </w:rPr>
      </w:pPr>
      <w:r>
        <w:rPr>
          <w:rFonts w:hint="default"/>
        </w:rPr>
        <w:t>- Incubator (for 16-hour reaction)</w:t>
      </w:r>
    </w:p>
    <w:p w14:paraId="74DF3CCC">
      <w:pPr>
        <w:rPr>
          <w:rFonts w:hint="default"/>
        </w:rPr>
      </w:pPr>
      <w:r>
        <w:rPr>
          <w:rFonts w:hint="default"/>
        </w:rPr>
        <w:t>$</w:t>
      </w:r>
    </w:p>
    <w:p w14:paraId="53E1673B">
      <w:pPr>
        <w:rPr>
          <w:rFonts w:hint="default"/>
        </w:rPr>
      </w:pPr>
      <w:r>
        <w:rPr>
          <w:rFonts w:hint="default"/>
        </w:rPr>
        <w:t>Controls_and_validation:</w:t>
      </w:r>
    </w:p>
    <w:p w14:paraId="0DF69AE6">
      <w:pPr>
        <w:rPr>
          <w:rFonts w:hint="default"/>
        </w:rPr>
      </w:pPr>
      <w:r>
        <w:rPr>
          <w:rFonts w:hint="default"/>
        </w:rPr>
        <w:t>Always synthesize a control dsRNA (e.g., targeting EGFP) in parallel using the same scaled-up protocol. Confirm dsRNA integrity and concentration via agarose gel electrophoresis and spectrophotometry.</w:t>
      </w:r>
    </w:p>
    <w:p w14:paraId="2E92B8C7">
      <w:pPr>
        <w:rPr>
          <w:rFonts w:hint="default"/>
        </w:rPr>
      </w:pPr>
      <w:r>
        <w:rPr>
          <w:rFonts w:hint="default"/>
        </w:rPr>
        <w:t>$</w:t>
      </w:r>
    </w:p>
    <w:p w14:paraId="58614D93">
      <w:pPr>
        <w:rPr>
          <w:rFonts w:hint="default"/>
        </w:rPr>
      </w:pPr>
      <w:r>
        <w:rPr>
          <w:rFonts w:hint="default"/>
        </w:rPr>
        <w:t>Notes</w:t>
      </w:r>
    </w:p>
    <w:p w14:paraId="19A43C80">
      <w:pPr>
        <w:rPr>
          <w:rFonts w:hint="default"/>
        </w:rPr>
      </w:pPr>
      <w:r>
        <w:rPr>
          <w:rFonts w:hint="default"/>
        </w:rPr>
        <w:t>The extended incubation time (16h) and reaction scaling are key to achieving the high concentrations needed for soaking without requiring a carrier molecule. Use nuclease-free reagents and tubes throughout.</w:t>
      </w:r>
    </w:p>
    <w:p w14:paraId="31127847">
      <w:pPr>
        <w:rPr>
          <w:rFonts w:hint="default"/>
        </w:rPr>
      </w:pPr>
    </w:p>
    <w:p w14:paraId="0935D67A">
      <w:pPr>
        <w:rPr>
          <w:rFonts w:hint="default"/>
        </w:rPr>
      </w:pPr>
      <w:r>
        <w:rPr>
          <w:rFonts w:hint="default"/>
        </w:rPr>
        <w:t>{}</w:t>
      </w:r>
    </w:p>
    <w:p w14:paraId="56EC306A">
      <w:pPr>
        <w:rPr>
          <w:rFonts w:hint="default"/>
        </w:rPr>
      </w:pPr>
      <w:r>
        <w:rPr>
          <w:rFonts w:hint="default"/>
        </w:rPr>
        <w:t>$</w:t>
      </w:r>
    </w:p>
    <w:p w14:paraId="7A5C7082">
      <w:pPr>
        <w:rPr>
          <w:rFonts w:hint="default"/>
        </w:rPr>
      </w:pPr>
      <w:r>
        <w:rPr>
          <w:rFonts w:hint="default"/>
        </w:rPr>
        <w:t>Sub-protocol 3: Pupal RNAi by Soaking in dsRNA Solution</w:t>
      </w:r>
    </w:p>
    <w:p w14:paraId="424DAF12">
      <w:pPr>
        <w:rPr>
          <w:rFonts w:hint="default"/>
        </w:rPr>
      </w:pPr>
      <w:r>
        <w:rPr>
          <w:rFonts w:hint="default"/>
        </w:rPr>
        <w:t>**[PROTOCOL_STAGE=IN_VIVO_DELIVERY_INJECTION]**</w:t>
      </w:r>
    </w:p>
    <w:p w14:paraId="2A80A11B">
      <w:pPr>
        <w:rPr>
          <w:rFonts w:hint="default"/>
        </w:rPr>
      </w:pPr>
      <w:r>
        <w:rPr>
          <w:rFonts w:hint="default"/>
        </w:rPr>
        <w:t>**Note: Although delivery is via soaking, the PROTOCOL_STAGE is classified as IN_VIVO_DELIVERY_INJECTION as it represents a direct, non-feoral/non-spray aqueous delivery of nucleic acids into the organism's body cavity, analogous in experimental logic to injection.**</w:t>
      </w:r>
    </w:p>
    <w:p w14:paraId="07C19BB7">
      <w:pPr>
        <w:rPr>
          <w:rFonts w:hint="default"/>
        </w:rPr>
      </w:pPr>
      <w:r>
        <w:rPr>
          <w:rFonts w:hint="default"/>
        </w:rPr>
        <w:t>$</w:t>
      </w:r>
    </w:p>
    <w:p w14:paraId="47985361">
      <w:pPr>
        <w:rPr>
          <w:rFonts w:hint="default"/>
        </w:rPr>
      </w:pPr>
      <w:r>
        <w:rPr>
          <w:rFonts w:hint="default"/>
        </w:rPr>
        <w:t>Applicable when:</w:t>
      </w:r>
    </w:p>
    <w:p w14:paraId="0CA7FC8B">
      <w:pPr>
        <w:rPr>
          <w:rFonts w:hint="default"/>
        </w:rPr>
      </w:pPr>
      <w:r>
        <w:rPr>
          <w:rFonts w:hint="default"/>
        </w:rPr>
        <w:t>Delivering dsRNA to mosquito pupae for gene knockdown without the need for microinjection, carrier molecules, or osmotic shock.</w:t>
      </w:r>
    </w:p>
    <w:p w14:paraId="1A1BB6AD">
      <w:pPr>
        <w:rPr>
          <w:rFonts w:hint="default"/>
        </w:rPr>
      </w:pPr>
      <w:r>
        <w:rPr>
          <w:rFonts w:hint="default"/>
        </w:rPr>
        <w:t>$</w:t>
      </w:r>
    </w:p>
    <w:p w14:paraId="18AB2B10">
      <w:pPr>
        <w:rPr>
          <w:rFonts w:hint="default"/>
        </w:rPr>
      </w:pPr>
      <w:r>
        <w:rPr>
          <w:rFonts w:hint="default"/>
        </w:rPr>
        <w:t>Purpose:</w:t>
      </w:r>
    </w:p>
    <w:p w14:paraId="0CD085A3">
      <w:pPr>
        <w:rPr>
          <w:rFonts w:hint="default"/>
        </w:rPr>
      </w:pPr>
      <w:r>
        <w:rPr>
          <w:rFonts w:hint="default"/>
        </w:rPr>
        <w:t>To achieve systemic uptake of dsRNA by pupae through simple immersion, leading to target gene knockdown that persists through metamorphosis into adulthood.</w:t>
      </w:r>
    </w:p>
    <w:p w14:paraId="779DAF35">
      <w:pPr>
        <w:rPr>
          <w:rFonts w:hint="default"/>
        </w:rPr>
      </w:pPr>
      <w:r>
        <w:rPr>
          <w:rFonts w:hint="default"/>
        </w:rPr>
        <w:t>$</w:t>
      </w:r>
    </w:p>
    <w:p w14:paraId="605C47A5">
      <w:pPr>
        <w:rPr>
          <w:rFonts w:hint="default"/>
        </w:rPr>
      </w:pPr>
      <w:r>
        <w:rPr>
          <w:rFonts w:hint="default"/>
        </w:rPr>
        <w:t>Procedure:</w:t>
      </w:r>
    </w:p>
    <w:p w14:paraId="0B348C0C">
      <w:pPr>
        <w:rPr>
          <w:rFonts w:hint="default"/>
        </w:rPr>
      </w:pPr>
      <w:r>
        <w:rPr>
          <w:rFonts w:hint="default"/>
        </w:rPr>
        <w:t>**Setup for Individual Well Assay (Precise dosing):**</w:t>
      </w:r>
    </w:p>
    <w:p w14:paraId="49B817AE">
      <w:pPr>
        <w:rPr>
          <w:rFonts w:hint="default"/>
        </w:rPr>
      </w:pPr>
      <w:r>
        <w:rPr>
          <w:rFonts w:hint="default"/>
        </w:rPr>
        <w:t>1.  Plate Setup: Place five (5) newly molted, 0-4 hour old pupae into each well of a 12-well cell culture plate (flat bottom).</w:t>
      </w:r>
    </w:p>
    <w:p w14:paraId="46ABB5C6">
      <w:pPr>
        <w:rPr>
          <w:rFonts w:hint="default"/>
        </w:rPr>
      </w:pPr>
      <w:r>
        <w:rPr>
          <w:rFonts w:hint="default"/>
        </w:rPr>
        <w:t>2.  Acclimatization: Add 500 µL of nuclease-free deionized (DI) water to each well. Allow pupae to acclimate for 10-15 minutes.</w:t>
      </w:r>
    </w:p>
    <w:p w14:paraId="0CE71341">
      <w:pPr>
        <w:rPr>
          <w:rFonts w:hint="default"/>
        </w:rPr>
      </w:pPr>
      <w:r>
        <w:rPr>
          <w:rFonts w:hint="default"/>
        </w:rPr>
        <w:t>3.  Health Check: After acclimation, remove and replace any dead pupae.</w:t>
      </w:r>
    </w:p>
    <w:p w14:paraId="00D25333">
      <w:pPr>
        <w:rPr>
          <w:rFonts w:hint="default"/>
        </w:rPr>
      </w:pPr>
      <w:r>
        <w:rPr>
          <w:rFonts w:hint="default"/>
        </w:rPr>
        <w:t>4.  dsRNA Delivery: Add 2 µL of dsRNA (at 2.5 µg/µL, totaling 5 µg) directly to the water in each well. Gently swirl to mix.</w:t>
      </w:r>
    </w:p>
    <w:p w14:paraId="1E00F89E">
      <w:pPr>
        <w:rPr>
          <w:rFonts w:hint="default"/>
        </w:rPr>
      </w:pPr>
      <w:r>
        <w:rPr>
          <w:rFonts w:hint="default"/>
        </w:rPr>
        <w:t>5.  Control Setup: In control wells, add an equal amount (5 µg) of control dsRNA (e.g., dsEGFP) or nuclease-free DI water only.</w:t>
      </w:r>
    </w:p>
    <w:p w14:paraId="203DFACB">
      <w:pPr>
        <w:rPr>
          <w:rFonts w:hint="default"/>
        </w:rPr>
      </w:pPr>
    </w:p>
    <w:p w14:paraId="5927B5DE">
      <w:pPr>
        <w:rPr>
          <w:rFonts w:hint="default"/>
        </w:rPr>
      </w:pPr>
      <w:r>
        <w:rPr>
          <w:rFonts w:hint="default"/>
        </w:rPr>
        <w:t>**Setup for Pool Assay (Batch treatment):**</w:t>
      </w:r>
    </w:p>
    <w:p w14:paraId="3EF706CE">
      <w:pPr>
        <w:rPr>
          <w:rFonts w:hint="default"/>
        </w:rPr>
      </w:pPr>
      <w:r>
        <w:rPr>
          <w:rFonts w:hint="default"/>
        </w:rPr>
        <w:t>1.  Dish Setup: Place thirty (30) pupae in a small tissue culture dish (e.g., 40 mm diameter).</w:t>
      </w:r>
    </w:p>
    <w:p w14:paraId="1C9AA7C8">
      <w:pPr>
        <w:rPr>
          <w:rFonts w:hint="default"/>
        </w:rPr>
      </w:pPr>
      <w:r>
        <w:rPr>
          <w:rFonts w:hint="default"/>
        </w:rPr>
        <w:t>2.  Solution Preparation: Add 12 µL of dsRNA (at 2.5 µg/µL, totaling 30 µg) to 4 mL of nuclease-free DI water in the dish.</w:t>
      </w:r>
    </w:p>
    <w:p w14:paraId="75A9687E">
      <w:pPr>
        <w:rPr>
          <w:rFonts w:hint="default"/>
        </w:rPr>
      </w:pPr>
      <w:r>
        <w:rPr>
          <w:rFonts w:hint="default"/>
        </w:rPr>
        <w:t>3.  Maintenance: On day 2 of treatment, add an additional 1 mL of nuclease-free DI water to the dish to compensate for evaporation.</w:t>
      </w:r>
    </w:p>
    <w:p w14:paraId="4DD3BBE3">
      <w:pPr>
        <w:rPr>
          <w:rFonts w:hint="default"/>
        </w:rPr>
      </w:pPr>
      <w:r>
        <w:rPr>
          <w:rFonts w:hint="default"/>
        </w:rPr>
        <w:t>4.  Control Setup: Prepare control dishes with 4 mL DI water plus 30 µg dsEGFP, or DI water only.</w:t>
      </w:r>
    </w:p>
    <w:p w14:paraId="5086805C">
      <w:pPr>
        <w:rPr>
          <w:rFonts w:hint="default"/>
        </w:rPr>
      </w:pPr>
    </w:p>
    <w:p w14:paraId="2C19F830">
      <w:pPr>
        <w:rPr>
          <w:rFonts w:hint="default"/>
        </w:rPr>
      </w:pPr>
      <w:r>
        <w:rPr>
          <w:rFonts w:hint="default"/>
        </w:rPr>
        <w:t>**General Maintenance:**</w:t>
      </w:r>
    </w:p>
    <w:p w14:paraId="122A75D3">
      <w:pPr>
        <w:rPr>
          <w:rFonts w:hint="default"/>
        </w:rPr>
      </w:pPr>
      <w:r>
        <w:rPr>
          <w:rFonts w:hint="default"/>
        </w:rPr>
        <w:t>6.  Keep plates/dishes under standard insectary rearing conditions until adult emergence.</w:t>
      </w:r>
    </w:p>
    <w:p w14:paraId="180F366A">
      <w:pPr>
        <w:rPr>
          <w:rFonts w:hint="default"/>
        </w:rPr>
      </w:pPr>
      <w:r>
        <w:rPr>
          <w:rFonts w:hint="default"/>
        </w:rPr>
        <w:t>7.  Transfer emerged adults to standard cages for holding until sampling.</w:t>
      </w:r>
    </w:p>
    <w:p w14:paraId="188BCB36">
      <w:pPr>
        <w:rPr>
          <w:rFonts w:hint="default"/>
        </w:rPr>
      </w:pPr>
      <w:r>
        <w:rPr>
          <w:rFonts w:hint="default"/>
        </w:rPr>
        <w:t>$</w:t>
      </w:r>
    </w:p>
    <w:p w14:paraId="1524C217">
      <w:pPr>
        <w:rPr>
          <w:rFonts w:hint="default"/>
        </w:rPr>
      </w:pPr>
      <w:r>
        <w:rPr>
          <w:rFonts w:hint="default"/>
        </w:rPr>
        <w:t>Key materials and equipment:</w:t>
      </w:r>
    </w:p>
    <w:p w14:paraId="15F5CE40">
      <w:pPr>
        <w:rPr>
          <w:rFonts w:hint="default"/>
        </w:rPr>
      </w:pPr>
      <w:r>
        <w:rPr>
          <w:rFonts w:hint="default"/>
        </w:rPr>
        <w:t>- 12-well cell culture plates (flat bottom) or tissue culture dishes</w:t>
      </w:r>
    </w:p>
    <w:p w14:paraId="20B6D2EA">
      <w:pPr>
        <w:rPr>
          <w:rFonts w:hint="default"/>
        </w:rPr>
      </w:pPr>
      <w:r>
        <w:rPr>
          <w:rFonts w:hint="default"/>
        </w:rPr>
        <w:t>- Nuclease-free deionized water</w:t>
      </w:r>
    </w:p>
    <w:p w14:paraId="006C1CA4">
      <w:pPr>
        <w:rPr>
          <w:rFonts w:hint="default"/>
        </w:rPr>
      </w:pPr>
      <w:r>
        <w:rPr>
          <w:rFonts w:hint="default"/>
        </w:rPr>
        <w:t>- High-concentration dsRNA stock (2.5 µg/µL)</w:t>
      </w:r>
    </w:p>
    <w:p w14:paraId="5499F365">
      <w:pPr>
        <w:rPr>
          <w:rFonts w:hint="default"/>
        </w:rPr>
      </w:pPr>
      <w:r>
        <w:rPr>
          <w:rFonts w:hint="default"/>
        </w:rPr>
        <w:t>- Fine paintbrush for pupal transfer</w:t>
      </w:r>
    </w:p>
    <w:p w14:paraId="3F392A5F">
      <w:pPr>
        <w:rPr>
          <w:rFonts w:hint="default"/>
        </w:rPr>
      </w:pPr>
      <w:r>
        <w:rPr>
          <w:rFonts w:hint="default"/>
        </w:rPr>
        <w:t>- Environmental chamber (standard rearing conditions)</w:t>
      </w:r>
    </w:p>
    <w:p w14:paraId="4444661C">
      <w:pPr>
        <w:rPr>
          <w:rFonts w:hint="default"/>
        </w:rPr>
      </w:pPr>
      <w:r>
        <w:rPr>
          <w:rFonts w:hint="default"/>
        </w:rPr>
        <w:t>$</w:t>
      </w:r>
    </w:p>
    <w:p w14:paraId="16DE3A62">
      <w:pPr>
        <w:rPr>
          <w:rFonts w:hint="default"/>
        </w:rPr>
      </w:pPr>
      <w:r>
        <w:rPr>
          <w:rFonts w:hint="default"/>
        </w:rPr>
        <w:t>Controls_and_validation:</w:t>
      </w:r>
    </w:p>
    <w:p w14:paraId="58E8495A">
      <w:pPr>
        <w:rPr>
          <w:rFonts w:hint="default"/>
        </w:rPr>
      </w:pPr>
      <w:r>
        <w:rPr>
          <w:rFonts w:hint="default"/>
        </w:rPr>
        <w:t>Essential controls: 1) dsEGFP (non-target control), 2) DI water only (vehicle control). Successful delivery is validated by subsequent qRT-PCR showing gene-specific knockdown in adults derived from treated pupae.</w:t>
      </w:r>
    </w:p>
    <w:p w14:paraId="4FEA5A1E">
      <w:pPr>
        <w:rPr>
          <w:rFonts w:hint="default"/>
        </w:rPr>
      </w:pPr>
      <w:r>
        <w:rPr>
          <w:rFonts w:hint="default"/>
        </w:rPr>
        <w:t>$</w:t>
      </w:r>
    </w:p>
    <w:p w14:paraId="1929B110">
      <w:pPr>
        <w:rPr>
          <w:rFonts w:hint="default"/>
        </w:rPr>
      </w:pPr>
      <w:r>
        <w:rPr>
          <w:rFonts w:hint="default"/>
        </w:rPr>
        <w:t>Notes</w:t>
      </w:r>
    </w:p>
    <w:p w14:paraId="3F7275BC">
      <w:pPr>
        <w:rPr>
          <w:rFonts w:hint="default"/>
        </w:rPr>
      </w:pPr>
      <w:r>
        <w:rPr>
          <w:rFonts w:hint="default"/>
        </w:rPr>
        <w:t>Pupal age is critical; older, sclerotized pupae may not uptake dsRNA efficiently. The method relies on natural uptake through the pupal cuticle or spiracles; no physical penetration or carrier is used. Handle pupae gently to avoid cuticle damage that could cause drowning.</w:t>
      </w:r>
    </w:p>
    <w:p w14:paraId="6F916779">
      <w:pPr>
        <w:rPr>
          <w:rFonts w:hint="default"/>
        </w:rPr>
      </w:pPr>
    </w:p>
    <w:p w14:paraId="0467D0FF">
      <w:pPr>
        <w:rPr>
          <w:rFonts w:hint="default"/>
        </w:rPr>
      </w:pPr>
      <w:r>
        <w:rPr>
          <w:rFonts w:hint="default"/>
        </w:rPr>
        <w:t>{}</w:t>
      </w:r>
    </w:p>
    <w:p w14:paraId="1848B8E4">
      <w:pPr>
        <w:rPr>
          <w:rFonts w:hint="default"/>
        </w:rPr>
      </w:pPr>
      <w:r>
        <w:rPr>
          <w:rFonts w:hint="default"/>
        </w:rPr>
        <w:t>$</w:t>
      </w:r>
    </w:p>
    <w:p w14:paraId="79AB7C3F">
      <w:pPr>
        <w:rPr>
          <w:rFonts w:hint="default"/>
        </w:rPr>
      </w:pPr>
      <w:r>
        <w:rPr>
          <w:rFonts w:hint="default"/>
        </w:rPr>
        <w:t>Sub-protocol 4: Molecular Validation of Knockdown in Adults Post-Soaking</w:t>
      </w:r>
    </w:p>
    <w:p w14:paraId="38E4A9AE">
      <w:pPr>
        <w:rPr>
          <w:rFonts w:hint="default"/>
        </w:rPr>
      </w:pPr>
      <w:r>
        <w:rPr>
          <w:rFonts w:hint="default"/>
        </w:rPr>
        <w:t>**[PROTOCOL_STAGE=QRT_PCR]**</w:t>
      </w:r>
    </w:p>
    <w:p w14:paraId="0BFA65A9">
      <w:pPr>
        <w:rPr>
          <w:rFonts w:hint="default"/>
        </w:rPr>
      </w:pPr>
      <w:r>
        <w:rPr>
          <w:rFonts w:hint="default"/>
        </w:rPr>
        <w:t>$</w:t>
      </w:r>
    </w:p>
    <w:p w14:paraId="45D0EC79">
      <w:pPr>
        <w:rPr>
          <w:rFonts w:hint="default"/>
        </w:rPr>
      </w:pPr>
      <w:r>
        <w:rPr>
          <w:rFonts w:hint="default"/>
        </w:rPr>
        <w:t>Applicable when:</w:t>
      </w:r>
    </w:p>
    <w:p w14:paraId="153C2549">
      <w:pPr>
        <w:rPr>
          <w:rFonts w:hint="default"/>
        </w:rPr>
      </w:pPr>
      <w:r>
        <w:rPr>
          <w:rFonts w:hint="default"/>
        </w:rPr>
        <w:t>Confirming the efficacy of pupal soaking by measuring transcript levels of the target gene in the subsequent adult stage.</w:t>
      </w:r>
    </w:p>
    <w:p w14:paraId="13BC134B">
      <w:pPr>
        <w:rPr>
          <w:rFonts w:hint="default"/>
        </w:rPr>
      </w:pPr>
      <w:r>
        <w:rPr>
          <w:rFonts w:hint="default"/>
        </w:rPr>
        <w:t>$</w:t>
      </w:r>
    </w:p>
    <w:p w14:paraId="53C851E6">
      <w:pPr>
        <w:rPr>
          <w:rFonts w:hint="default"/>
        </w:rPr>
      </w:pPr>
      <w:r>
        <w:rPr>
          <w:rFonts w:hint="default"/>
        </w:rPr>
        <w:t>Purpose:</w:t>
      </w:r>
    </w:p>
    <w:p w14:paraId="0AE9FA24">
      <w:pPr>
        <w:rPr>
          <w:rFonts w:hint="default"/>
        </w:rPr>
      </w:pPr>
      <w:r>
        <w:rPr>
          <w:rFonts w:hint="default"/>
        </w:rPr>
        <w:t>To provide molecular evidence that the soaking procedure successfully delivered functional dsRNA, resulting in specific degradation of the target mRNA.</w:t>
      </w:r>
    </w:p>
    <w:p w14:paraId="4D75D524">
      <w:pPr>
        <w:rPr>
          <w:rFonts w:hint="default"/>
        </w:rPr>
      </w:pPr>
      <w:r>
        <w:rPr>
          <w:rFonts w:hint="default"/>
        </w:rPr>
        <w:t>$</w:t>
      </w:r>
    </w:p>
    <w:p w14:paraId="406267BA">
      <w:pPr>
        <w:rPr>
          <w:rFonts w:hint="default"/>
        </w:rPr>
      </w:pPr>
      <w:r>
        <w:rPr>
          <w:rFonts w:hint="default"/>
        </w:rPr>
        <w:t>Procedure:</w:t>
      </w:r>
    </w:p>
    <w:p w14:paraId="2C55EB8F">
      <w:pPr>
        <w:rPr>
          <w:rFonts w:hint="default"/>
        </w:rPr>
      </w:pPr>
      <w:r>
        <w:rPr>
          <w:rFonts w:hint="default"/>
        </w:rPr>
        <w:t>1.  Sample Collection: Collect adult mosquitoes that emerge from dsRNA-soaked pupae. Sample at the desired adult age (e.g., 2-day-old adults).</w:t>
      </w:r>
    </w:p>
    <w:p w14:paraId="140488FA">
      <w:pPr>
        <w:rPr>
          <w:rFonts w:hint="default"/>
        </w:rPr>
      </w:pPr>
      <w:r>
        <w:rPr>
          <w:rFonts w:hint="default"/>
        </w:rPr>
        <w:t>2.  RNA Extraction: Extract total RNA from individual adult mosquitoes. (The protocol uses an unspecified method, but TRIzol or column-based kits are typical).</w:t>
      </w:r>
    </w:p>
    <w:p w14:paraId="05076168">
      <w:pPr>
        <w:rPr>
          <w:rFonts w:hint="default"/>
        </w:rPr>
      </w:pPr>
      <w:r>
        <w:rPr>
          <w:rFonts w:hint="default"/>
        </w:rPr>
        <w:t>3.  cDNA Synthesis: Use 500 ng to 1 μg of total RNA for first-strand cDNA synthesis with a commercial kit (e.g., iScript cDNA Synthesis Kit). Follow the manufacturer's protocol.</w:t>
      </w:r>
    </w:p>
    <w:p w14:paraId="19054695">
      <w:pPr>
        <w:rPr>
          <w:rFonts w:hint="default"/>
        </w:rPr>
      </w:pPr>
      <w:r>
        <w:rPr>
          <w:rFonts w:hint="default"/>
        </w:rPr>
        <w:t>4.  cDNA Dilution: Dilute the synthesized cDNA 10-fold with nuclease-free water.</w:t>
      </w:r>
    </w:p>
    <w:p w14:paraId="65D79FDE">
      <w:pPr>
        <w:rPr>
          <w:rFonts w:hint="default"/>
        </w:rPr>
      </w:pPr>
      <w:r>
        <w:rPr>
          <w:rFonts w:hint="default"/>
        </w:rPr>
        <w:t>5.  qRT-PCR Setup:</w:t>
      </w:r>
    </w:p>
    <w:p w14:paraId="3B3B9449">
      <w:pPr>
        <w:rPr>
          <w:rFonts w:hint="default"/>
        </w:rPr>
      </w:pPr>
      <w:r>
        <w:rPr>
          <w:rFonts w:hint="default"/>
        </w:rPr>
        <w:t xml:space="preserve">    a.  Use 1 µL of diluted cDNA per 10 µL reaction.</w:t>
      </w:r>
    </w:p>
    <w:p w14:paraId="076BAF35">
      <w:pPr>
        <w:rPr>
          <w:rFonts w:hint="default"/>
        </w:rPr>
      </w:pPr>
      <w:r>
        <w:rPr>
          <w:rFonts w:hint="default"/>
        </w:rPr>
        <w:t xml:space="preserve">    b.  Use SYBR Green master mix and gene-specific primers for the target gene (e.g., CYP4G35) and a stable housekeeping gene (e.g., ribosomal protein S7).</w:t>
      </w:r>
    </w:p>
    <w:p w14:paraId="3CACB4D0">
      <w:pPr>
        <w:rPr>
          <w:rFonts w:hint="default"/>
        </w:rPr>
      </w:pPr>
      <w:r>
        <w:rPr>
          <w:rFonts w:hint="default"/>
        </w:rPr>
        <w:t xml:space="preserve">    c.  Run reactions in triplicate wells.</w:t>
      </w:r>
    </w:p>
    <w:p w14:paraId="06B31858">
      <w:pPr>
        <w:rPr>
          <w:rFonts w:hint="default"/>
        </w:rPr>
      </w:pPr>
      <w:r>
        <w:rPr>
          <w:rFonts w:hint="default"/>
        </w:rPr>
        <w:t xml:space="preserve">    d.  Use the following thermocycling conditions: 3 min at 95°C, followed by 39 cycles of: 10 s at 95°C, 30 s at 58°C, 30 s at 72°C. Include a melt curve analysis (65–95°C).</w:t>
      </w:r>
    </w:p>
    <w:p w14:paraId="311FEDB1">
      <w:pPr>
        <w:rPr>
          <w:rFonts w:hint="default"/>
        </w:rPr>
      </w:pPr>
      <w:r>
        <w:rPr>
          <w:rFonts w:hint="default"/>
        </w:rPr>
        <w:t>6.  Data Analysis: Calculate relative expression using the 2-ΔΔCt method. Compare the dsRNA-target group to both control groups (dsEGFP and DI water).</w:t>
      </w:r>
    </w:p>
    <w:p w14:paraId="3EB0B576">
      <w:pPr>
        <w:rPr>
          <w:rFonts w:hint="default"/>
        </w:rPr>
      </w:pPr>
      <w:r>
        <w:rPr>
          <w:rFonts w:hint="default"/>
        </w:rPr>
        <w:t>7.  Statistical Analysis: Compare relative expression values between the three treatment groups using one-way ANOVA followed by a post-hoc test (e.g., Tukey's multiple comparison test).</w:t>
      </w:r>
    </w:p>
    <w:p w14:paraId="77C3D715">
      <w:pPr>
        <w:rPr>
          <w:rFonts w:hint="default"/>
        </w:rPr>
      </w:pPr>
      <w:r>
        <w:rPr>
          <w:rFonts w:hint="default"/>
        </w:rPr>
        <w:t>$</w:t>
      </w:r>
    </w:p>
    <w:p w14:paraId="6DE5D8C9">
      <w:pPr>
        <w:rPr>
          <w:rFonts w:hint="default"/>
        </w:rPr>
      </w:pPr>
      <w:r>
        <w:rPr>
          <w:rFonts w:hint="default"/>
        </w:rPr>
        <w:t>Key materials and equipment:</w:t>
      </w:r>
    </w:p>
    <w:p w14:paraId="0EB82912">
      <w:pPr>
        <w:rPr>
          <w:rFonts w:hint="default"/>
        </w:rPr>
      </w:pPr>
      <w:r>
        <w:rPr>
          <w:rFonts w:hint="default"/>
        </w:rPr>
        <w:t>- RNA extraction reagents (TRIzol or kit)</w:t>
      </w:r>
    </w:p>
    <w:p w14:paraId="26B06727">
      <w:pPr>
        <w:rPr>
          <w:rFonts w:hint="default"/>
        </w:rPr>
      </w:pPr>
      <w:r>
        <w:rPr>
          <w:rFonts w:hint="default"/>
        </w:rPr>
        <w:t>- cDNA synthesis kit (iScript)</w:t>
      </w:r>
    </w:p>
    <w:p w14:paraId="34818384">
      <w:pPr>
        <w:rPr>
          <w:rFonts w:hint="default"/>
        </w:rPr>
      </w:pPr>
      <w:r>
        <w:rPr>
          <w:rFonts w:hint="default"/>
        </w:rPr>
        <w:t>- Real-time PCR system (e.g., CFX touch)</w:t>
      </w:r>
    </w:p>
    <w:p w14:paraId="130A44E6">
      <w:pPr>
        <w:rPr>
          <w:rFonts w:hint="default"/>
        </w:rPr>
      </w:pPr>
      <w:r>
        <w:rPr>
          <w:rFonts w:hint="default"/>
        </w:rPr>
        <w:t>- SYBR Green master mix</w:t>
      </w:r>
    </w:p>
    <w:p w14:paraId="5D2575A2">
      <w:pPr>
        <w:rPr>
          <w:rFonts w:hint="default"/>
        </w:rPr>
      </w:pPr>
      <w:r>
        <w:rPr>
          <w:rFonts w:hint="default"/>
        </w:rPr>
        <w:t>- Gene-specific primers (target and housekeeping)</w:t>
      </w:r>
    </w:p>
    <w:p w14:paraId="1595C023">
      <w:pPr>
        <w:rPr>
          <w:rFonts w:hint="default"/>
        </w:rPr>
      </w:pPr>
      <w:r>
        <w:rPr>
          <w:rFonts w:hint="default"/>
        </w:rPr>
        <w:t>- Statistical software (e.g., GraphPad Prism)</w:t>
      </w:r>
    </w:p>
    <w:p w14:paraId="4F4393F6">
      <w:pPr>
        <w:rPr>
          <w:rFonts w:hint="default"/>
        </w:rPr>
      </w:pPr>
      <w:r>
        <w:rPr>
          <w:rFonts w:hint="default"/>
        </w:rPr>
        <w:t>$</w:t>
      </w:r>
    </w:p>
    <w:p w14:paraId="6D697E87">
      <w:pPr>
        <w:rPr>
          <w:rFonts w:hint="default"/>
        </w:rPr>
      </w:pPr>
      <w:r>
        <w:rPr>
          <w:rFonts w:hint="default"/>
        </w:rPr>
        <w:t>Controls_and_validation:</w:t>
      </w:r>
    </w:p>
    <w:p w14:paraId="6A9ADBBC">
      <w:pPr>
        <w:rPr>
          <w:rFonts w:hint="default"/>
        </w:rPr>
      </w:pPr>
      <w:r>
        <w:rPr>
          <w:rFonts w:hint="default"/>
        </w:rPr>
        <w:t>Control Groups: Adults from pupae soaked in 1) dsEGFP, 2) DI water only. Housekeeping gene stability across samples must be confirmed. Statistical significance (p &lt; 0.05) confirms specific knockdown relative to controls.</w:t>
      </w:r>
    </w:p>
    <w:p w14:paraId="4A17F7EE">
      <w:pPr>
        <w:rPr>
          <w:rFonts w:hint="default"/>
        </w:rPr>
      </w:pPr>
      <w:r>
        <w:rPr>
          <w:rFonts w:hint="default"/>
        </w:rPr>
        <w:t>$</w:t>
      </w:r>
    </w:p>
    <w:p w14:paraId="308022D8">
      <w:pPr>
        <w:rPr>
          <w:rFonts w:hint="default"/>
        </w:rPr>
      </w:pPr>
      <w:r>
        <w:rPr>
          <w:rFonts w:hint="default"/>
        </w:rPr>
        <w:t>Notes</w:t>
      </w:r>
    </w:p>
    <w:p w14:paraId="1A6B88CF">
      <w:pPr>
        <w:rPr>
          <w:rFonts w:hint="default"/>
          <w:lang w:val="en-US" w:eastAsia="zh-CN"/>
        </w:rPr>
      </w:pPr>
      <w:r>
        <w:rPr>
          <w:rFonts w:hint="default"/>
        </w:rPr>
        <w:t>Sampling individual adults, rather than pools, can reveal variation in knockdown efficiency. The timing of adult sampling (2 days post-emergence) is chosen to allow for turnover of existing target protein and clear detection of transcript knockdown.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E7CAC"/>
    <w:rsid w:val="314425D7"/>
    <w:rsid w:val="39114B63"/>
    <w:rsid w:val="74C9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1193</Words>
  <Characters>6126</Characters>
  <Lines>0</Lines>
  <Paragraphs>0</Paragraphs>
  <TotalTime>8</TotalTime>
  <ScaleCrop>false</ScaleCrop>
  <LinksUpToDate>false</LinksUpToDate>
  <CharactersWithSpaces>7301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2026-01-16T09:15:00Z</dcterms:created>
  <dc:creator>DELL</dc:creator>
  <cp:lastModifiedBy>李宗桓</cp:lastModifiedBy>
  <dcterms:modified xsi:type="dcterms:W3CDTF">2026-01-20T03:14:12Z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D2C048322F5241C09C974F774862C1D9_12</vt:lpwstr>
  </property>
</Properties>
</file>