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3987A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{}</w:t>
      </w:r>
    </w:p>
    <w:p w14:paraId="2A6222E9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$</w:t>
      </w:r>
    </w:p>
    <w:p w14:paraId="3B1B61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Genscript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siRNA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Targ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e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t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Finder - Raw Article Summary</w:t>
      </w:r>
    </w:p>
    <w:p w14:paraId="74ABC4F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1"/>
          <w:szCs w:val="21"/>
          <w:u w:val="none"/>
        </w:rPr>
        <w:t>Tool Name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21"/>
          <w:szCs w:val="21"/>
          <w:u w:val="none"/>
          <w:lang w:eastAsia="zh-CN"/>
        </w:rPr>
        <w:t>：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GenScript siRNA Design Center (includes siRNA Target Finder, siRNA Construct Builder, and siRNA Sequence Scrambler)</w:t>
      </w:r>
    </w:p>
    <w:p w14:paraId="42446ABF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Developer/Unit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Luquan Wang and Forest Y. Mu (GenScript Corporation)</w:t>
      </w:r>
    </w:p>
    <w:p w14:paraId="6728A6C2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$</w:t>
      </w:r>
    </w:p>
    <w:p w14:paraId="31F85E41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Core Principles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：</w:t>
      </w:r>
    </w:p>
    <w:p w14:paraId="103CFC06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·</w:t>
      </w: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siRNA Target Finder</w:t>
      </w:r>
    </w:p>
    <w:p w14:paraId="5C561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Uses ΔG1 (internal stability of siRNA duplex) based on pentamer free energy to filter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candidates.</w:t>
      </w:r>
    </w:p>
    <w:p w14:paraId="7DC515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Employs ΔG2 (specificity score) calculated from binding strength differences to target vs. non - target mRNAs .</w:t>
      </w:r>
    </w:p>
    <w:p w14:paraId="5D551E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Filters based on secondary structure and removes low -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complexity sequences.</w:t>
      </w:r>
    </w:p>
    <w:p w14:paraId="4053B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Checks for SNPs to avoid disruption of silencing.</w:t>
      </w:r>
    </w:p>
    <w:p w14:paraId="530D9D19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·</w:t>
      </w: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siRNA Construct Builder</w:t>
      </w:r>
    </w:p>
    <w:p w14:paraId="7390C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Designs hairpin inserts for vectors/cassettes with customizable loop sequences and transcription start site optimization .</w:t>
      </w:r>
    </w:p>
    <w:p w14:paraId="3E4BD341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·</w:t>
      </w: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siRNA Sequence Scrambler</w:t>
      </w:r>
    </w:p>
    <w:p w14:paraId="58BB9A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Generates scrambled control sequences with same nucleotide composition, filtered via BLAST against RefSeq.</w:t>
      </w:r>
    </w:p>
    <w:p w14:paraId="16FB4E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$</w:t>
      </w:r>
    </w:p>
    <w:p w14:paraId="4891E88E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Advantages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：</w:t>
      </w:r>
    </w:p>
    <w:p w14:paraId="1B6CD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Specifically designed for DNA - based siRNA (vector and cassette), unlike most tools focused on synthetic siRNA.</w:t>
      </w:r>
    </w:p>
    <w:p w14:paraId="1F73E5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Integrates advanced features: automatic homology filtering, internal stability (ΔG1/ΔG2), secondary structure analysis, and SNP checking.</w:t>
      </w:r>
    </w:p>
    <w:p w14:paraId="71FFA1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Comprehensive design suite covering target selection, construct building, and control sequence generation.</w:t>
      </w:r>
    </w:p>
    <w:p w14:paraId="6FB51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Freely available for academic/non - profit use via a secure web server.</w:t>
      </w:r>
    </w:p>
    <w:p w14:paraId="41BF6F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$</w:t>
      </w:r>
    </w:p>
    <w:p w14:paraId="01D3212E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Limitations</w:t>
      </w: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：</w:t>
      </w:r>
    </w:p>
    <w:p w14:paraId="46363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Primarily optimized for DNA - based siRNA; may not be ideal for chemically synthesized siRNA design.</w:t>
      </w:r>
    </w:p>
    <w:p w14:paraId="11D2F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Limited organism datasets (human, mouse, rat, Drosophila) for BLAST filtering at time of publication.</w:t>
      </w:r>
    </w:p>
    <w:p w14:paraId="7E6DA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Does not address newer siRNA formats (e.g., miRNA - adapted shRNAs) that emerged after 2004.</w:t>
      </w:r>
    </w:p>
    <w:p w14:paraId="30BC1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May lack updates in algorithms compared to more modern tools incorporating recent RNAi research advances.</w:t>
      </w:r>
    </w:p>
    <w:p w14:paraId="3D9E9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$</w:t>
      </w:r>
    </w:p>
    <w:p w14:paraId="3E1DD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{}</w:t>
      </w:r>
    </w:p>
    <w:p w14:paraId="77584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$</w:t>
      </w:r>
    </w:p>
    <w:p w14:paraId="5D68ABC8">
      <w:pPr>
        <w:jc w:val="both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siRNA Target Finding Strategy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[1]</w:t>
      </w:r>
    </w:p>
    <w:p w14:paraId="30DD87D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Machine learning algorithm </w:t>
      </w:r>
    </w:p>
    <w:p w14:paraId="05F2E2C6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Based on a large number of experimental data of RNAi and advanced data mining technology, GenScript now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develops a newest machine learning algorithm to predict siRNA. Compared with our first generation design tool, the accuracy of new algorithm, especially for the design of shRNA, has greatly enhanced by 90%. The siRNA design algorithm developed by GenScript, along with its siRNA Genome-Wide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Bio-Reagent Bank (GenPool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vertAlign w:val="superscript"/>
          <w:lang w:val="en-US" w:eastAsia="zh-CN" w:bidi="ar"/>
        </w:rPr>
        <w:t>TM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) library, represents a major improvement over our previous design approach. </w:t>
      </w:r>
    </w:p>
    <w:p w14:paraId="312790F4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6FE8A38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>Empirical rules</w:t>
      </w:r>
      <w:r>
        <w:rPr>
          <w:rFonts w:hint="default" w:ascii="Times New Roman" w:hAnsi="Times New Roman" w:eastAsia="宋体" w:cs="Times New Roman"/>
          <w:b/>
          <w:bCs/>
          <w:color w:val="990000"/>
          <w:kern w:val="0"/>
          <w:sz w:val="24"/>
          <w:szCs w:val="24"/>
          <w:lang w:val="en-US" w:eastAsia="zh-CN" w:bidi="ar"/>
        </w:rPr>
        <w:t xml:space="preserve"> </w:t>
      </w:r>
    </w:p>
    <w:p w14:paraId="57D3A45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To maximize the prediction accuracy of RNAi design, GenScript scientists incorporate the following empirical rules into the novel generation RNAi design software successfully: </w:t>
      </w:r>
    </w:p>
    <w:p w14:paraId="0A2486F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1. Thermodynamic property: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Sequences were filtered to remove candidates with unfavored thermodynamic property [2, 4, 5] . </w:t>
      </w:r>
    </w:p>
    <w:p w14:paraId="31F74AC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2. Length of the siRNA target site: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Default is 21 mer [3] . </w:t>
      </w:r>
    </w:p>
    <w:p w14:paraId="6A66A12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3. GC content of the target site: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Default GC content range is 30-60%. Sequences with low GC content (&lt; 60%) have a better chance to be functional siRNAs site than those with high GC content (&gt; 60%). For GC rich genes, the upper limit of the GC content range may be adjusted to a higher level. </w:t>
      </w:r>
    </w:p>
    <w:p w14:paraId="30842B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4. Sequence region: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We recommend ORF (open reading frame) as the target selecting region, preferably 50–100 nt downstream of the "ATG" start codon, and you may specify your desired region in our design tool. </w:t>
      </w:r>
    </w:p>
    <w:p w14:paraId="223E599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5. Organism: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human, mouse, and rat genomes are currently available. The specified genome is used to remove non-unique target sequences via BLAST/SmithWaterman search. </w:t>
      </w:r>
    </w:p>
    <w:p w14:paraId="7CE59C5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1744B5D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6. RNA secondary structure: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We calculated the RNA secondary structure and minimum free energy (MFE) for each target sense and anti-sense sequences. Sequences with relatively strong internal structures will be removed. </w:t>
      </w:r>
    </w:p>
    <w:p w14:paraId="5039C6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7. Repeat and low complex sequence: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Sequences with tandem repeats and other low complex features will be removed. </w:t>
      </w:r>
    </w:p>
    <w:p w14:paraId="28AE371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8. Filtering sequences: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Filtering sequences are the sequences that trigger mammalian immune response [6, 7] . </w:t>
      </w:r>
    </w:p>
    <w:p w14:paraId="76BB99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9. SNP: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Sequences overlapping with a SNP site will be marked and filtered. This is done only when an accession/gene id is provided.</w:t>
      </w:r>
    </w:p>
    <w:p w14:paraId="4995C8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10. ΔE and ranking: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The candidates are ranked based on a GenScript proprietary algorithm and using the parameter ΔE. This parameter measures the specificity of a target site. </w:t>
      </w:r>
    </w:p>
    <w:p w14:paraId="65056AD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11. Positive motif: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Positive motifs is a group of motifs which can significantly influence the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in vivo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application of siRNA owing to off target effects and toxicities associated with innate immunte stimulation.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Therefore, siRNA containing positive motifs will be suppressed; in the other hand, siRNA containing negative motifs will be given a bonus.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1A2A2D96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$</w:t>
      </w:r>
    </w:p>
    <w:p w14:paraId="0B5FC86B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{}</w:t>
      </w:r>
    </w:p>
    <w:p w14:paraId="7518E40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$</w:t>
      </w:r>
    </w:p>
    <w:p w14:paraId="0A9F8EB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Controlled off-target efficiency </w:t>
      </w:r>
    </w:p>
    <w:p w14:paraId="15751A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Off-target of RNAi operation is an important feature of GenScript RNAi design software, which stands for the latest developing trend of RNAi technology and application. Controlling off-target efficiency is performed: </w:t>
      </w:r>
    </w:p>
    <w:p w14:paraId="7D4DE7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1. BLAST/SmithWaterman search: </w:t>
      </w:r>
    </w:p>
    <w:p w14:paraId="5397C7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The imperfectly matched target mRNA with siRNA is a major factor for occurrence of off-target unintended genes. Theref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 xml:space="preserve">ore, each candidate target sequence will be searched against a unique and comprehensive EST/mRNA collection for the specified organism. Sequences overlapping 16 bp or more with other transcripts are removed from the final list. </w:t>
      </w:r>
    </w:p>
    <w:p w14:paraId="7B0CCE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$</w:t>
      </w:r>
    </w:p>
    <w:p w14:paraId="06D7B0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2. Off-target of seed match of siRNA: </w:t>
      </w:r>
    </w:p>
    <w:p w14:paraId="55B66C3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2.1 Seed region</w:t>
      </w: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Previous investigations and GenScript experiment data show that siRNA "off target" transcript silencing mediated by seed region sequence is widespread [8] ."Seed region" of siRNA is analogous to seed region of microRNA. GenScript researchers found that size of seed region plays a major part in off target prediction. Size of seed region of siRNA we proposed is 6-8 bases. </w:t>
      </w:r>
    </w:p>
    <w:p w14:paraId="3993D3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2.2. Seed match: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Depending on the proprietary off-target prediction database, threshold of seed match for the specific species in siRNA design is a unique characteristic in GenScript’s siRNA design software. This cutoff value is computed by a probability model which has general biological significance. </w:t>
      </w:r>
    </w:p>
    <w:p w14:paraId="7AF6281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22A0EF8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3. Functional alignment: </w:t>
      </w:r>
    </w:p>
    <w:p w14:paraId="1E42BCE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Besides general sequence alignment, GenScript siRNA design tool incorporates a novel alignment approach, functional alignment. This idea for functional alignment derives from asymmetry of siRNA in the assembly of the RNAi enzyme complex. </w:t>
      </w:r>
    </w:p>
    <w:p w14:paraId="70192B4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0E690B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Announcement: </w:t>
      </w:r>
    </w:p>
    <w:p w14:paraId="09A0420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GenScript guarantees that 95% of off target effect will be filtered if all filtering conditions are chosen. However, some candidate siRNAs with highest knockdown efficiency are filtered owing to carry out a very strict screening condition. Therefore, we should make a tradeoff between off-target effect and gene knockdown efficiency.</w:t>
      </w:r>
    </w:p>
    <w:p w14:paraId="20BD70EB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1452029E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{}</w:t>
      </w:r>
    </w:p>
    <w:p w14:paraId="50BC88D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417582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References: </w:t>
      </w:r>
    </w:p>
    <w:p w14:paraId="3F60D7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Wang L, Mu FY. A Web-based design center for vector-based siRNA and siRNA cassette. Bioinformatics. 2004; 20(11): 1818–1820. </w:t>
      </w:r>
    </w:p>
    <w:p w14:paraId="4B1D89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Khvorova A, Reynolds A, Jayasena SD. Functional siRNAs and miRNAs exhibit strand bias. Cell. 2003; 115(2): 209–216. </w:t>
      </w:r>
    </w:p>
    <w:p w14:paraId="3874766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Harborth J, Elbashir SM, Vandenburgh K,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 Sequence, chemical, and structural variation of small interfering RNAs and short hairpin RNAs and the effect on mammalian gene silencing. Antisense Nucleic Acid Drug Dev. 2003; 13(2): 83–105. </w:t>
      </w:r>
    </w:p>
    <w:p w14:paraId="1AC878D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Reynolds A, Leake D, Boese Q,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 Rational siRNA design for RNA interference. Nat Biotechnol. 2004; 22(3): 326–330. </w:t>
      </w:r>
    </w:p>
    <w:p w14:paraId="12A039E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5.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Ui-Tei K, Naito Y, Takahashi F,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 Guidelines for the selection of highly effective siRNA sequences for mammalian and chick RNA interference. Nucleic Acids Res. 2004; 32(3): 936–948. </w:t>
      </w:r>
    </w:p>
    <w:p w14:paraId="52288D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6.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Adam DJ, Vandana S, Janet RS,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 Sequence-dependent stimulation of the mammalian innate immune response by synthetic siRNA. Nat Biotechnology. 2005; 23: 457–462 </w:t>
      </w:r>
    </w:p>
    <w:p w14:paraId="5834D2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7.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Hornung V, Guenthner-Biller M, Bourquin C,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. Sequence-specific potent induction of IFN-alpha by short interfering RNA in plasmacytoid dendritic cells through TLR7. Nat Medicine. 2005; 11(3): 263–270 </w:t>
      </w:r>
    </w:p>
    <w:p w14:paraId="4069B1C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8.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Jackson LA, Burchard J, Schelter J, 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et al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. Widespread siRNA ‘‘off-target’’ transcript silencing mediated by seed region sequence complementarity. RNA. 2006; 12(7): 1179–1187.</w:t>
      </w:r>
    </w:p>
    <w:p w14:paraId="7BFB73F8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$</w:t>
      </w:r>
    </w:p>
    <w:p w14:paraId="1D1DA9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{}</w:t>
      </w:r>
      <w:bookmarkStart w:id="0" w:name="_GoBack"/>
      <w:bookmarkEnd w:id="0"/>
    </w:p>
    <w:p w14:paraId="439942BA">
      <w:pPr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12521"/>
    <w:rsid w:val="0C5E35F4"/>
    <w:rsid w:val="12D55F11"/>
    <w:rsid w:val="26477F1B"/>
    <w:rsid w:val="33C25AF9"/>
    <w:rsid w:val="38DE55D9"/>
    <w:rsid w:val="50E6512A"/>
    <w:rsid w:val="53B31B57"/>
    <w:rsid w:val="54A4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1158</Words>
  <Characters>6651</Characters>
  <Lines>0</Lines>
  <Paragraphs>0</Paragraphs>
  <TotalTime>22</TotalTime>
  <ScaleCrop>false</ScaleCrop>
  <LinksUpToDate>false</LinksUpToDate>
  <CharactersWithSpaces>7772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2025-12-15T08:34:00Z</dcterms:created>
  <dc:creator>DELL</dc:creator>
  <cp:lastModifiedBy>李宗桓</cp:lastModifiedBy>
  <dcterms:modified xsi:type="dcterms:W3CDTF">2025-12-16T07:23:47Z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88D154CFEF484BF89574244553E3BD6F_12</vt:lpwstr>
  </property>
</Properties>
</file>