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E9B69">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1E6E41E">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9EC8D6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eastAsiaTheme="minorEastAsia"/>
          <w:b/>
          <w:i w:val="0"/>
          <w:strike w:val="0"/>
          <w:color w:val="auto"/>
          <w:sz w:val="21"/>
          <w:szCs w:val="21"/>
          <w:u w:val="none"/>
          <w:lang w:val="en-US" w:eastAsia="zh-CN"/>
        </w:rPr>
      </w:pPr>
      <w:r>
        <w:rPr>
          <w:rFonts w:hint="eastAsia" w:ascii="Times New Roman" w:hAnsi="Times New Roman" w:cs="Times New Roman"/>
          <w:b/>
          <w:bCs/>
          <w:sz w:val="28"/>
          <w:szCs w:val="36"/>
          <w:lang w:val="en-US" w:eastAsia="zh-CN"/>
        </w:rPr>
        <w:t>OligoWalk - Raw</w:t>
      </w:r>
      <w:r>
        <w:rPr>
          <w:rFonts w:hint="default" w:ascii="Times New Roman" w:hAnsi="Times New Roman" w:cs="Times New Roman"/>
          <w:b/>
          <w:bCs/>
          <w:sz w:val="28"/>
          <w:szCs w:val="36"/>
          <w:lang w:val="en-US" w:eastAsia="zh-CN"/>
        </w:rPr>
        <w:t xml:space="preserve"> Article Summary</w:t>
      </w:r>
    </w:p>
    <w:p w14:paraId="56CC48A4">
      <w:pPr>
        <w:rPr>
          <w:rFonts w:hint="default" w:ascii="Times New Roman" w:hAnsi="Times New Roman" w:cs="Times New Roman"/>
        </w:rPr>
      </w:pPr>
      <w:r>
        <w:rPr>
          <w:rFonts w:hint="default" w:ascii="Times New Roman" w:hAnsi="Times New Roman" w:cs="Times New Roman"/>
          <w:b/>
          <w:bCs/>
        </w:rPr>
        <w:t>Tool Name:</w:t>
      </w:r>
      <w:r>
        <w:rPr>
          <w:rFonts w:hint="eastAsia" w:ascii="Times New Roman" w:hAnsi="Times New Roman" w:cs="Times New Roman"/>
          <w:lang w:val="en-US" w:eastAsia="zh-CN"/>
        </w:rPr>
        <w:t xml:space="preserve"> </w:t>
      </w:r>
      <w:r>
        <w:rPr>
          <w:rFonts w:hint="default" w:ascii="Times New Roman" w:hAnsi="Times New Roman" w:cs="Times New Roman"/>
        </w:rPr>
        <w:t>OligoWalk</w:t>
      </w:r>
    </w:p>
    <w:p w14:paraId="5969E2BA">
      <w:pPr>
        <w:rPr>
          <w:rFonts w:hint="default" w:ascii="Times New Roman" w:hAnsi="Times New Roman" w:cs="Times New Roman"/>
        </w:rPr>
      </w:pPr>
      <w:r>
        <w:rPr>
          <w:rFonts w:hint="default" w:ascii="Times New Roman" w:hAnsi="Times New Roman" w:cs="Times New Roman"/>
          <w:b/>
          <w:bCs/>
        </w:rPr>
        <w:t>Developer/Unit:</w:t>
      </w:r>
      <w:r>
        <w:rPr>
          <w:rFonts w:hint="eastAsia" w:ascii="Times New Roman" w:hAnsi="Times New Roman" w:cs="Times New Roman"/>
          <w:b/>
          <w:bCs/>
          <w:lang w:val="en-US" w:eastAsia="zh-CN"/>
        </w:rPr>
        <w:t xml:space="preserve"> </w:t>
      </w:r>
      <w:r>
        <w:rPr>
          <w:rFonts w:hint="default" w:ascii="Times New Roman" w:hAnsi="Times New Roman" w:cs="Times New Roman"/>
        </w:rPr>
        <w:t>Zhi John Lu and David H. Mathews (University of Rochester Medical Center, USA)</w:t>
      </w:r>
    </w:p>
    <w:p w14:paraId="01925AE0">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218BB343">
      <w:pPr>
        <w:rPr>
          <w:rFonts w:hint="default" w:ascii="Times New Roman" w:hAnsi="Times New Roman" w:cs="Times New Roman"/>
          <w:b/>
          <w:bCs/>
        </w:rPr>
      </w:pPr>
      <w:r>
        <w:rPr>
          <w:rFonts w:hint="default" w:ascii="Times New Roman" w:hAnsi="Times New Roman" w:cs="Times New Roman"/>
          <w:b/>
          <w:bCs/>
        </w:rPr>
        <w:t>Core Principles:</w:t>
      </w:r>
    </w:p>
    <w:p w14:paraId="56331A14">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Thermodynamic Hybridization Model: </w:t>
      </w:r>
    </w:p>
    <w:p w14:paraId="5FE7AB92">
      <w:pPr>
        <w:ind w:leftChars="100"/>
        <w:rPr>
          <w:rFonts w:hint="default" w:ascii="Times New Roman" w:hAnsi="Times New Roman" w:cs="Times New Roman"/>
        </w:rPr>
      </w:pPr>
      <w:r>
        <w:rPr>
          <w:rFonts w:hint="default" w:ascii="Times New Roman" w:hAnsi="Times New Roman" w:cs="Times New Roman"/>
        </w:rPr>
        <w:t>The core algorithm rigorously calculates the free energy changes (ΔG°) for siRNA binding to its target mRNA. It specifically accounts for the energy costs of disrupting both the target mRNA's secondary structure and the siRNA's own intramolecular and intermolecular structures, modeling the full equilibrium between all these states.</w:t>
      </w:r>
    </w:p>
    <w:p w14:paraId="171FEA55">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Partition Function Calculation: </w:t>
      </w:r>
    </w:p>
    <w:p w14:paraId="41FA09D6">
      <w:pPr>
        <w:ind w:leftChars="100"/>
        <w:rPr>
          <w:rFonts w:hint="default" w:ascii="Times New Roman" w:hAnsi="Times New Roman" w:cs="Times New Roman"/>
        </w:rPr>
      </w:pPr>
      <w:r>
        <w:rPr>
          <w:rFonts w:hint="default" w:ascii="Times New Roman" w:hAnsi="Times New Roman" w:cs="Times New Roman"/>
        </w:rPr>
        <w:t>Employs a partition function method to consider the ensemble of all possible secondary structures for both siRNA and target mRNA, providing a more comprehensive thermodynamic profile than methods relying on a single minimum free energy structure.</w:t>
      </w:r>
    </w:p>
    <w:p w14:paraId="6AD8426A">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Machine Learning Integration: </w:t>
      </w:r>
    </w:p>
    <w:p w14:paraId="2A966288">
      <w:pPr>
        <w:ind w:leftChars="100"/>
        <w:rPr>
          <w:rFonts w:hint="default" w:ascii="Times New Roman" w:hAnsi="Times New Roman" w:cs="Times New Roman"/>
        </w:rPr>
      </w:pPr>
      <w:r>
        <w:rPr>
          <w:rFonts w:hint="default" w:ascii="Times New Roman" w:hAnsi="Times New Roman" w:cs="Times New Roman"/>
        </w:rPr>
        <w:t>A Support Vector Machine (SVM) classifier integrates the calculated thermodynamic parameters with known siRNA sequence features (e.g., GC content, terminal asymmetry) to predict the probability that a candidate siRNA will achieve high silencing efficacy (&gt;70% inhibition).</w:t>
      </w:r>
    </w:p>
    <w:p w14:paraId="1AB55005">
      <w:pPr>
        <w:rPr>
          <w:rFonts w:hint="default" w:ascii="Times New Roman" w:hAnsi="Times New Roman" w:cs="Times New Roman"/>
          <w:b/>
          <w:bCs/>
        </w:rPr>
      </w:pPr>
      <w:r>
        <w:rPr>
          <w:rFonts w:hint="eastAsia" w:ascii="Times New Roman" w:hAnsi="Times New Roman" w:cs="Times New Roman"/>
          <w:b/>
          <w:bCs/>
          <w:lang w:val="en-US" w:eastAsia="zh-CN"/>
        </w:rPr>
        <w:t>·</w:t>
      </w:r>
      <w:r>
        <w:rPr>
          <w:rFonts w:hint="default" w:ascii="Times New Roman" w:hAnsi="Times New Roman" w:cs="Times New Roman"/>
          <w:b/>
          <w:bCs/>
        </w:rPr>
        <w:t xml:space="preserve">Empirical Rule Pre-filter: </w:t>
      </w:r>
    </w:p>
    <w:p w14:paraId="3C71CBB9">
      <w:pPr>
        <w:ind w:leftChars="100"/>
        <w:rPr>
          <w:rFonts w:hint="default" w:ascii="Times New Roman" w:hAnsi="Times New Roman" w:cs="Times New Roman"/>
        </w:rPr>
      </w:pPr>
      <w:r>
        <w:rPr>
          <w:rFonts w:hint="default" w:ascii="Times New Roman" w:hAnsi="Times New Roman" w:cs="Times New Roman"/>
        </w:rPr>
        <w:t>Optionally uses established empirical rules (e.g., Reynolds score) to pre-screen and filter out unpromising candidates before the computationally intensive thermodynamic calculations, significantly speeding up the process.</w:t>
      </w:r>
    </w:p>
    <w:p w14:paraId="4BD7EE4C">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5D408102">
      <w:pPr>
        <w:rPr>
          <w:rFonts w:hint="default" w:ascii="Times New Roman" w:hAnsi="Times New Roman" w:cs="Times New Roman"/>
          <w:b/>
          <w:bCs/>
        </w:rPr>
      </w:pPr>
      <w:r>
        <w:rPr>
          <w:rFonts w:hint="default" w:ascii="Times New Roman" w:hAnsi="Times New Roman" w:cs="Times New Roman"/>
          <w:b/>
          <w:bCs/>
        </w:rPr>
        <w:t>Advantages:</w:t>
      </w:r>
    </w:p>
    <w:p w14:paraId="03E7F434">
      <w:pPr>
        <w:rPr>
          <w:rFonts w:hint="default" w:ascii="Times New Roman" w:hAnsi="Times New Roman" w:cs="Times New Roman"/>
        </w:rPr>
      </w:pPr>
      <w:r>
        <w:rPr>
          <w:rFonts w:hint="default" w:ascii="Times New Roman" w:hAnsi="Times New Roman" w:cs="Times New Roman"/>
        </w:rPr>
        <w:t>Target Accessibility Focus: Uniquely emphasizes and rigorously calculates the thermodynamic accessibility of the target mRNA binding site, a critical factor often oversimplified or ignored by other tools that rely primarily on siRNA sequence features alone.</w:t>
      </w:r>
    </w:p>
    <w:p w14:paraId="5C161FB9">
      <w:pPr>
        <w:rPr>
          <w:rFonts w:hint="default" w:ascii="Times New Roman" w:hAnsi="Times New Roman" w:cs="Times New Roman"/>
        </w:rPr>
      </w:pPr>
      <w:r>
        <w:rPr>
          <w:rFonts w:hint="default" w:ascii="Times New Roman" w:hAnsi="Times New Roman" w:cs="Times New Roman"/>
        </w:rPr>
        <w:t>Comprehensive Thermodynamic Model: Uses a more complete and physically realistic model of the binding equilibrium, considering the structure of both interacting partners, which can improve prediction accuracy for challenging targets.</w:t>
      </w:r>
    </w:p>
    <w:p w14:paraId="3E3BCDDA">
      <w:pPr>
        <w:rPr>
          <w:rFonts w:hint="default" w:ascii="Times New Roman" w:hAnsi="Times New Roman" w:cs="Times New Roman"/>
        </w:rPr>
      </w:pPr>
      <w:r>
        <w:rPr>
          <w:rFonts w:hint="default" w:ascii="Times New Roman" w:hAnsi="Times New Roman" w:cs="Times New Roman"/>
        </w:rPr>
        <w:t>High Predictive Value: Reports a high positive predictive value of 78.6%, meaning nearly 80% of its top-ranked siRNA candidates are expected to be highly effective (&gt;70% silencing) in experiments.</w:t>
      </w:r>
    </w:p>
    <w:p w14:paraId="135AD758">
      <w:pPr>
        <w:rPr>
          <w:rFonts w:hint="default" w:ascii="Times New Roman" w:hAnsi="Times New Roman" w:cs="Times New Roman"/>
        </w:rPr>
      </w:pPr>
      <w:r>
        <w:rPr>
          <w:rFonts w:hint="default" w:ascii="Times New Roman" w:hAnsi="Times New Roman" w:cs="Times New Roman"/>
        </w:rPr>
        <w:t>Transparency and Flexibility: Provides detailed thermodynamic breakdowns (overall ΔG, duplex ΔG, target opening cost, etc.) for each candidate, offering advanced users insights into the driving forces behind the prediction. The web server also offers advanced options to adjust calculation rigor (e.g., folding method).</w:t>
      </w:r>
    </w:p>
    <w:p w14:paraId="6EB60318">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4690E9DD">
      <w:pPr>
        <w:rPr>
          <w:rFonts w:hint="default" w:ascii="Times New Roman" w:hAnsi="Times New Roman" w:cs="Times New Roman"/>
          <w:b/>
          <w:bCs/>
        </w:rPr>
      </w:pPr>
      <w:r>
        <w:rPr>
          <w:rFonts w:hint="default" w:ascii="Times New Roman" w:hAnsi="Times New Roman" w:cs="Times New Roman"/>
          <w:b/>
          <w:bCs/>
        </w:rPr>
        <w:t>Limitations:</w:t>
      </w:r>
    </w:p>
    <w:p w14:paraId="7BA9705A">
      <w:pPr>
        <w:rPr>
          <w:rFonts w:hint="default" w:ascii="Times New Roman" w:hAnsi="Times New Roman" w:cs="Times New Roman"/>
        </w:rPr>
      </w:pPr>
      <w:r>
        <w:rPr>
          <w:rFonts w:hint="default" w:ascii="Times New Roman" w:hAnsi="Times New Roman" w:cs="Times New Roman"/>
        </w:rPr>
        <w:t>High Computational Cost: The rigorous partition function calculations, especially for long mRNA targets, are computationally intensive and time-consuming, requiring submission to a job queue.</w:t>
      </w:r>
    </w:p>
    <w:p w14:paraId="4A256D61">
      <w:pPr>
        <w:rPr>
          <w:rFonts w:hint="default" w:ascii="Times New Roman" w:hAnsi="Times New Roman" w:cs="Times New Roman"/>
        </w:rPr>
      </w:pPr>
      <w:r>
        <w:rPr>
          <w:rFonts w:hint="default" w:ascii="Times New Roman" w:hAnsi="Times New Roman" w:cs="Times New Roman"/>
        </w:rPr>
        <w:t>Primary for Synthetic siRNA: The algorithm is trained and optimized for predicting the efficacy of chemically synthesized siRNA duplexes. Its applicability to DNA vector-based siRNA (shRNA) design, where transcriptional context matters, is not explicitly addressed.</w:t>
      </w:r>
    </w:p>
    <w:p w14:paraId="07B5643A">
      <w:pPr>
        <w:rPr>
          <w:rFonts w:hint="default" w:ascii="Times New Roman" w:hAnsi="Times New Roman" w:cs="Times New Roman"/>
        </w:rPr>
      </w:pPr>
      <w:r>
        <w:rPr>
          <w:rFonts w:hint="eastAsia" w:ascii="Times New Roman" w:hAnsi="Times New Roman" w:cs="Times New Roman"/>
          <w:lang w:val="en-US" w:eastAsia="zh-CN"/>
        </w:rPr>
        <w:t>$</w:t>
      </w:r>
    </w:p>
    <w:p w14:paraId="0833B26E">
      <w:pPr>
        <w:rPr>
          <w:rFonts w:hint="default" w:ascii="Times New Roman" w:hAnsi="Times New Roman" w:cs="Times New Roman"/>
        </w:rPr>
      </w:pPr>
      <w:r>
        <w:rPr>
          <w:rFonts w:hint="default" w:ascii="Times New Roman" w:hAnsi="Times New Roman" w:cs="Times New Roman"/>
        </w:rPr>
        <w:t>Complexity for Novices: While the default settings are user-friendly, the full utility and interpretation of the advanced thermodynamic parameters require a deeper understanding of RNA biophysics, potentially making it less accessible for beginners compared to rule-based tools.</w:t>
      </w:r>
    </w:p>
    <w:p w14:paraId="02E41AFB">
      <w:pPr>
        <w:rPr>
          <w:rFonts w:hint="default" w:ascii="Times New Roman" w:hAnsi="Times New Roman" w:cs="Times New Roman"/>
        </w:rPr>
      </w:pPr>
      <w:r>
        <w:rPr>
          <w:rFonts w:hint="default" w:ascii="Times New Roman" w:hAnsi="Times New Roman" w:cs="Times New Roman"/>
        </w:rPr>
        <w:t>Sequence Length Limit: The web server has a sequence input limit (10,000 nt) and a practical folding window limit (default 1000 nt centered on the binding site) for the partition function calculation to manage computational load, which may not capture long-range structural interactions.</w:t>
      </w:r>
    </w:p>
    <w:p w14:paraId="59B78291">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691EA366">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00F6441">
      <w:pPr>
        <w:rPr>
          <w:rFonts w:hint="eastAsia"/>
        </w:rPr>
      </w:pPr>
      <w:r>
        <w:rPr>
          <w:rFonts w:hint="eastAsia" w:ascii="Times New Roman" w:hAnsi="Times New Roman" w:cs="Times New Roman"/>
          <w:lang w:val="en-US" w:eastAsia="zh-CN"/>
        </w:rPr>
        <w:t>$</w:t>
      </w:r>
    </w:p>
    <w:p w14:paraId="58C35597">
      <w:pPr>
        <w:jc w:val="both"/>
        <w:rPr>
          <w:rFonts w:hint="default" w:ascii="Times New Roman" w:hAnsi="Times New Roman" w:cs="Times New Roman" w:eastAsiaTheme="minorEastAsia"/>
          <w:b/>
          <w:bCs/>
          <w:sz w:val="28"/>
          <w:szCs w:val="36"/>
          <w:highlight w:val="none"/>
          <w:lang w:val="en-US" w:eastAsia="zh-CN"/>
        </w:rPr>
      </w:pPr>
      <w:r>
        <w:rPr>
          <w:rFonts w:hint="default" w:ascii="Times New Roman" w:hAnsi="Times New Roman" w:cs="Times New Roman"/>
          <w:b/>
          <w:bCs/>
          <w:sz w:val="28"/>
          <w:szCs w:val="36"/>
          <w:highlight w:val="none"/>
          <w:lang w:val="en-US" w:eastAsia="zh-CN"/>
        </w:rPr>
        <w:t>User Guide</w:t>
      </w:r>
    </w:p>
    <w:p w14:paraId="7CF43F5A">
      <w:p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rPr>
        <w:t>I. Introduction</w:t>
      </w:r>
    </w:p>
    <w:p w14:paraId="21E915A7">
      <w:pPr>
        <w:jc w:val="both"/>
        <w:rPr>
          <w:rFonts w:hint="default" w:ascii="Times New Roman" w:hAnsi="Times New Roman" w:cs="Times New Roman"/>
        </w:rPr>
      </w:pPr>
      <w:r>
        <w:rPr>
          <w:rFonts w:hint="default" w:ascii="Times New Roman" w:hAnsi="Times New Roman" w:cs="Times New Roman"/>
          <w:highlight w:val="none"/>
        </w:rPr>
        <w:t>The OligoWalk web server is constructured to predict efficient siRNA candidates for an mRNA</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sequence on the basis of the statistical mechanics of the siRNA-target interaction. The</w:t>
      </w:r>
      <w:r>
        <w:rPr>
          <w:rFonts w:hint="eastAsia" w:ascii="Times New Roman" w:hAnsi="Times New Roman" w:cs="Times New Roman"/>
          <w:highlight w:val="none"/>
          <w:lang w:val="en-US" w:eastAsia="zh-CN"/>
        </w:rPr>
        <w:t xml:space="preserve"> </w:t>
      </w:r>
      <w:r>
        <w:rPr>
          <w:rFonts w:hint="default" w:ascii="Times New Roman" w:hAnsi="Times New Roman" w:cs="Times New Roman"/>
          <w:highlight w:val="none"/>
        </w:rPr>
        <w:t xml:space="preserve">secondary </w:t>
      </w:r>
      <w:r>
        <w:rPr>
          <w:rFonts w:hint="default" w:ascii="Times New Roman" w:hAnsi="Times New Roman" w:cs="Times New Roman"/>
        </w:rPr>
        <w:t>structures of the oligomer and target mRNA are considered in the OligoWalk</w:t>
      </w:r>
      <w:r>
        <w:rPr>
          <w:rFonts w:hint="eastAsia" w:ascii="Times New Roman" w:hAnsi="Times New Roman" w:cs="Times New Roman"/>
          <w:lang w:val="en-US" w:eastAsia="zh-CN"/>
        </w:rPr>
        <w:t xml:space="preserve"> </w:t>
      </w:r>
      <w:r>
        <w:rPr>
          <w:rFonts w:hint="default" w:ascii="Times New Roman" w:hAnsi="Times New Roman" w:cs="Times New Roman"/>
        </w:rPr>
        <w:t>algorithm. In addition to the thermodynamic parameters, a number of local sequence features are also</w:t>
      </w:r>
      <w:r>
        <w:rPr>
          <w:rFonts w:hint="eastAsia" w:ascii="Times New Roman" w:hAnsi="Times New Roman" w:cs="Times New Roman"/>
          <w:lang w:val="en-US" w:eastAsia="zh-CN"/>
        </w:rPr>
        <w:t xml:space="preserve"> </w:t>
      </w:r>
      <w:r>
        <w:rPr>
          <w:rFonts w:hint="default" w:ascii="Times New Roman" w:hAnsi="Times New Roman" w:cs="Times New Roman"/>
        </w:rPr>
        <w:t>considered by the Support Vector Machine embedded in the server. Please see References for</w:t>
      </w:r>
      <w:r>
        <w:rPr>
          <w:rFonts w:hint="eastAsia" w:ascii="Times New Roman" w:hAnsi="Times New Roman" w:cs="Times New Roman"/>
          <w:lang w:val="en-US" w:eastAsia="zh-CN"/>
        </w:rPr>
        <w:t xml:space="preserve"> </w:t>
      </w:r>
      <w:r>
        <w:rPr>
          <w:rFonts w:hint="default" w:ascii="Times New Roman" w:hAnsi="Times New Roman" w:cs="Times New Roman"/>
        </w:rPr>
        <w:t>the details.</w:t>
      </w:r>
    </w:p>
    <w:p w14:paraId="50F099EB">
      <w:pPr>
        <w:jc w:val="both"/>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0393188">
      <w:pPr>
        <w:jc w:val="both"/>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DA53F32">
      <w:pPr>
        <w:jc w:val="both"/>
        <w:rPr>
          <w:rFonts w:hint="default" w:ascii="Times New Roman" w:hAnsi="Times New Roman" w:cs="Times New Roman"/>
          <w:b/>
          <w:bCs/>
          <w:sz w:val="24"/>
          <w:szCs w:val="32"/>
        </w:rPr>
      </w:pPr>
      <w:r>
        <w:rPr>
          <w:rFonts w:hint="default" w:ascii="Times New Roman" w:hAnsi="Times New Roman" w:cs="Times New Roman"/>
          <w:b/>
          <w:bCs/>
          <w:sz w:val="24"/>
          <w:szCs w:val="32"/>
        </w:rPr>
        <w:t>II. Input Options</w:t>
      </w:r>
    </w:p>
    <w:p w14:paraId="2BB0F7EF">
      <w:pPr>
        <w:jc w:val="both"/>
        <w:rPr>
          <w:rFonts w:hint="default" w:ascii="Times New Roman" w:hAnsi="Times New Roman" w:cs="Times New Roman"/>
        </w:rPr>
      </w:pPr>
      <w:r>
        <w:rPr>
          <w:rFonts w:hint="default" w:ascii="Times New Roman" w:hAnsi="Times New Roman" w:cs="Times New Roman"/>
        </w:rPr>
        <w:t>The input options are restricted to save the calculation time on server. The complete software</w:t>
      </w:r>
      <w:r>
        <w:rPr>
          <w:rFonts w:hint="eastAsia" w:ascii="Times New Roman" w:hAnsi="Times New Roman" w:cs="Times New Roman"/>
          <w:lang w:val="en-US" w:eastAsia="zh-CN"/>
        </w:rPr>
        <w:t xml:space="preserve"> </w:t>
      </w:r>
      <w:r>
        <w:rPr>
          <w:rFonts w:hint="default" w:ascii="Times New Roman" w:hAnsi="Times New Roman" w:cs="Times New Roman"/>
        </w:rPr>
        <w:t>package without restrictions is available for download.</w:t>
      </w:r>
    </w:p>
    <w:p w14:paraId="17AFC141">
      <w:pPr>
        <w:jc w:val="both"/>
        <w:rPr>
          <w:rFonts w:hint="default" w:ascii="Times New Roman" w:hAnsi="Times New Roman" w:cs="Times New Roman"/>
        </w:rPr>
      </w:pPr>
      <w:r>
        <w:rPr>
          <w:rFonts w:hint="default" w:ascii="Times New Roman" w:hAnsi="Times New Roman" w:cs="Times New Roman"/>
          <w:b/>
          <w:bCs/>
        </w:rPr>
        <w:t xml:space="preserve">Oligomer Type: </w:t>
      </w:r>
      <w:r>
        <w:rPr>
          <w:rFonts w:hint="default" w:ascii="Times New Roman" w:hAnsi="Times New Roman" w:cs="Times New Roman"/>
        </w:rPr>
        <w:t>Only RNA is allowed.</w:t>
      </w:r>
    </w:p>
    <w:p w14:paraId="4689535C">
      <w:pPr>
        <w:jc w:val="both"/>
        <w:rPr>
          <w:rFonts w:hint="default" w:ascii="Times New Roman" w:hAnsi="Times New Roman" w:cs="Times New Roman"/>
        </w:rPr>
      </w:pPr>
      <w:r>
        <w:rPr>
          <w:rFonts w:hint="default" w:ascii="Times New Roman" w:hAnsi="Times New Roman" w:cs="Times New Roman"/>
          <w:b/>
          <w:bCs/>
        </w:rPr>
        <w:t>Oligomer Length:</w:t>
      </w:r>
      <w:r>
        <w:rPr>
          <w:rFonts w:hint="default" w:ascii="Times New Roman" w:hAnsi="Times New Roman" w:cs="Times New Roman"/>
        </w:rPr>
        <w:t xml:space="preserve"> 19 bases is recommended for siRNA design.</w:t>
      </w:r>
    </w:p>
    <w:p w14:paraId="53D6E947">
      <w:pPr>
        <w:jc w:val="both"/>
        <w:rPr>
          <w:rFonts w:hint="default" w:ascii="Times New Roman" w:hAnsi="Times New Roman" w:cs="Times New Roman"/>
        </w:rPr>
      </w:pPr>
      <w:r>
        <w:rPr>
          <w:rFonts w:hint="default" w:ascii="Times New Roman" w:hAnsi="Times New Roman" w:cs="Times New Roman"/>
          <w:b/>
          <w:bCs/>
        </w:rPr>
        <w:t>Oligomer Concentration:</w:t>
      </w:r>
      <w:r>
        <w:rPr>
          <w:rFonts w:hint="default" w:ascii="Times New Roman" w:hAnsi="Times New Roman" w:cs="Times New Roman"/>
        </w:rPr>
        <w:t xml:space="preserve"> This is the oligomer concentration. It only affects overall ΔG that is</w:t>
      </w:r>
      <w:r>
        <w:rPr>
          <w:rFonts w:hint="eastAsia" w:ascii="Times New Roman" w:hAnsi="Times New Roman" w:cs="Times New Roman"/>
          <w:lang w:val="en-US" w:eastAsia="zh-CN"/>
        </w:rPr>
        <w:t xml:space="preserve"> </w:t>
      </w:r>
      <w:r>
        <w:rPr>
          <w:rFonts w:hint="default" w:ascii="Times New Roman" w:hAnsi="Times New Roman" w:cs="Times New Roman"/>
        </w:rPr>
        <w:t>provided as part of the thermodynamic details and it is not used for siRNA selection.</w:t>
      </w:r>
    </w:p>
    <w:p w14:paraId="25D786E8">
      <w:pPr>
        <w:jc w:val="both"/>
        <w:rPr>
          <w:rFonts w:hint="default" w:ascii="Times New Roman" w:hAnsi="Times New Roman" w:cs="Times New Roman"/>
        </w:rPr>
      </w:pPr>
      <w:r>
        <w:rPr>
          <w:rFonts w:hint="default" w:ascii="Times New Roman" w:hAnsi="Times New Roman" w:cs="Times New Roman"/>
          <w:b/>
          <w:bCs/>
        </w:rPr>
        <w:t xml:space="preserve">Prefilter for siRNA design: </w:t>
      </w:r>
      <w:r>
        <w:rPr>
          <w:rFonts w:hint="default" w:ascii="Times New Roman" w:hAnsi="Times New Roman" w:cs="Times New Roman"/>
        </w:rPr>
        <w:t>The prefiter is modified from Reynold's method.</w:t>
      </w:r>
      <w:r>
        <w:rPr>
          <w:rFonts w:hint="eastAsia" w:ascii="Times New Roman" w:hAnsi="Times New Roman" w:cs="Times New Roman"/>
          <w:lang w:val="en-US" w:eastAsia="zh-CN"/>
        </w:rPr>
        <w:t xml:space="preserve"> </w:t>
      </w:r>
      <w:r>
        <w:rPr>
          <w:rFonts w:hint="default" w:ascii="Times New Roman" w:hAnsi="Times New Roman" w:cs="Times New Roman"/>
        </w:rPr>
        <w:t>The prefilter only allows candidate siRNAs that meet some basic sequence criteria to be</w:t>
      </w:r>
      <w:r>
        <w:rPr>
          <w:rFonts w:hint="eastAsia" w:ascii="Times New Roman" w:hAnsi="Times New Roman" w:cs="Times New Roman"/>
          <w:lang w:val="en-US" w:eastAsia="zh-CN"/>
        </w:rPr>
        <w:t xml:space="preserve"> </w:t>
      </w:r>
      <w:r>
        <w:rPr>
          <w:rFonts w:hint="default" w:ascii="Times New Roman" w:hAnsi="Times New Roman" w:cs="Times New Roman"/>
        </w:rPr>
        <w:t>considered using the full thermodynamic model. It must be turned on when the secondary</w:t>
      </w:r>
      <w:r>
        <w:rPr>
          <w:rFonts w:hint="eastAsia" w:ascii="Times New Roman" w:hAnsi="Times New Roman" w:cs="Times New Roman"/>
          <w:lang w:val="en-US" w:eastAsia="zh-CN"/>
        </w:rPr>
        <w:t xml:space="preserve"> </w:t>
      </w:r>
      <w:r>
        <w:rPr>
          <w:rFonts w:hint="default" w:ascii="Times New Roman" w:hAnsi="Times New Roman" w:cs="Times New Roman"/>
        </w:rPr>
        <w:t>structure of the target is considered in order to save time.</w:t>
      </w:r>
    </w:p>
    <w:p w14:paraId="2D49F111">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34BFD93B">
      <w:pPr>
        <w:jc w:val="both"/>
        <w:rPr>
          <w:rFonts w:hint="default" w:ascii="Times New Roman" w:hAnsi="Times New Roman" w:cs="Times New Roman"/>
        </w:rPr>
      </w:pPr>
      <w:r>
        <w:rPr>
          <w:rFonts w:hint="default" w:ascii="Times New Roman" w:hAnsi="Times New Roman" w:cs="Times New Roman"/>
          <w:b/>
          <w:bCs/>
        </w:rPr>
        <w:t xml:space="preserve">Binding mode: </w:t>
      </w:r>
      <w:r>
        <w:rPr>
          <w:rFonts w:hint="default" w:ascii="Times New Roman" w:hAnsi="Times New Roman" w:cs="Times New Roman"/>
        </w:rPr>
        <w:t>Three modes are available</w:t>
      </w:r>
      <w:r>
        <w:rPr>
          <w:rFonts w:hint="eastAsia" w:ascii="Times New Roman" w:hAnsi="Times New Roman" w:cs="Times New Roman"/>
          <w:lang w:val="en-US" w:eastAsia="zh-CN"/>
        </w:rPr>
        <w:t>(below)</w:t>
      </w:r>
      <w:r>
        <w:rPr>
          <w:rFonts w:hint="default" w:ascii="Times New Roman" w:hAnsi="Times New Roman" w:cs="Times New Roman"/>
        </w:rPr>
        <w:t>.</w:t>
      </w:r>
    </w:p>
    <w:p w14:paraId="644079D6">
      <w:pPr>
        <w:jc w:val="both"/>
        <w:rPr>
          <w:rFonts w:hint="default" w:ascii="Times New Roman" w:hAnsi="Times New Roman" w:cs="Times New Roman"/>
        </w:rPr>
      </w:pPr>
      <w:r>
        <w:rPr>
          <w:rFonts w:hint="default" w:ascii="Times New Roman" w:hAnsi="Times New Roman" w:cs="Times New Roman"/>
        </w:rPr>
        <w:t>"Break local structure": The target will be folded once. The base pairs of the binding region are</w:t>
      </w:r>
      <w:r>
        <w:rPr>
          <w:rFonts w:hint="eastAsia" w:ascii="Times New Roman" w:hAnsi="Times New Roman" w:cs="Times New Roman"/>
          <w:lang w:val="en-US" w:eastAsia="zh-CN"/>
        </w:rPr>
        <w:t xml:space="preserve"> </w:t>
      </w:r>
      <w:r>
        <w:rPr>
          <w:rFonts w:hint="default" w:ascii="Times New Roman" w:hAnsi="Times New Roman" w:cs="Times New Roman"/>
        </w:rPr>
        <w:t>broken for the hybridization of the oligomer, but the structures of the other parts will not be</w:t>
      </w:r>
      <w:r>
        <w:rPr>
          <w:rFonts w:hint="eastAsia" w:ascii="Times New Roman" w:hAnsi="Times New Roman" w:cs="Times New Roman"/>
          <w:lang w:val="en-US" w:eastAsia="zh-CN"/>
        </w:rPr>
        <w:t xml:space="preserve"> </w:t>
      </w:r>
      <w:r>
        <w:rPr>
          <w:rFonts w:hint="default" w:ascii="Times New Roman" w:hAnsi="Times New Roman" w:cs="Times New Roman"/>
        </w:rPr>
        <w:t>refolded. This mode is a compromise between the fastest and most rigorous methods.</w:t>
      </w:r>
    </w:p>
    <w:p w14:paraId="31260D59">
      <w:pPr>
        <w:jc w:val="both"/>
        <w:rPr>
          <w:rFonts w:hint="default" w:ascii="Times New Roman" w:hAnsi="Times New Roman" w:cs="Times New Roman"/>
        </w:rPr>
      </w:pPr>
      <w:r>
        <w:rPr>
          <w:rFonts w:hint="default" w:ascii="Times New Roman" w:hAnsi="Times New Roman" w:cs="Times New Roman"/>
        </w:rPr>
        <w:t>"Refold target RNA" : A certain range of region (the size is defined by Folding size, specified</w:t>
      </w:r>
      <w:r>
        <w:rPr>
          <w:rFonts w:hint="eastAsia" w:ascii="Times New Roman" w:hAnsi="Times New Roman" w:cs="Times New Roman"/>
          <w:lang w:val="en-US" w:eastAsia="zh-CN"/>
        </w:rPr>
        <w:t xml:space="preserve"> </w:t>
      </w:r>
      <w:r>
        <w:rPr>
          <w:rFonts w:hint="default" w:ascii="Times New Roman" w:hAnsi="Times New Roman" w:cs="Times New Roman"/>
        </w:rPr>
        <w:t>below) centered on the binding site will be refolded after oligomer hybridization. This mode is</w:t>
      </w:r>
      <w:r>
        <w:rPr>
          <w:rFonts w:hint="eastAsia" w:ascii="Times New Roman" w:hAnsi="Times New Roman" w:cs="Times New Roman"/>
          <w:lang w:val="en-US" w:eastAsia="zh-CN"/>
        </w:rPr>
        <w:t xml:space="preserve"> </w:t>
      </w:r>
      <w:r>
        <w:rPr>
          <w:rFonts w:hint="default" w:ascii="Times New Roman" w:hAnsi="Times New Roman" w:cs="Times New Roman"/>
        </w:rPr>
        <w:t>the most rigorous if it is assumed that the system is at equilibrium and this is the</w:t>
      </w:r>
      <w:r>
        <w:rPr>
          <w:rFonts w:hint="eastAsia" w:ascii="Times New Roman" w:hAnsi="Times New Roman" w:cs="Times New Roman"/>
          <w:lang w:val="en-US" w:eastAsia="zh-CN"/>
        </w:rPr>
        <w:t xml:space="preserve"> </w:t>
      </w:r>
      <w:r>
        <w:rPr>
          <w:rFonts w:hint="default" w:ascii="Times New Roman" w:hAnsi="Times New Roman" w:cs="Times New Roman"/>
        </w:rPr>
        <w:t>recommended mode for siRNA selection.</w:t>
      </w:r>
    </w:p>
    <w:p w14:paraId="44F0A747">
      <w:pPr>
        <w:jc w:val="both"/>
        <w:rPr>
          <w:rFonts w:hint="default" w:ascii="Times New Roman" w:hAnsi="Times New Roman" w:cs="Times New Roman"/>
        </w:rPr>
      </w:pPr>
      <w:r>
        <w:rPr>
          <w:rFonts w:hint="default" w:ascii="Times New Roman" w:hAnsi="Times New Roman" w:cs="Times New Roman"/>
        </w:rPr>
        <w:t>"Not consider target structure": not consider the secondary structure of the target. This is the</w:t>
      </w:r>
      <w:r>
        <w:rPr>
          <w:rFonts w:hint="eastAsia" w:ascii="Times New Roman" w:hAnsi="Times New Roman" w:cs="Times New Roman"/>
          <w:lang w:val="en-US" w:eastAsia="zh-CN"/>
        </w:rPr>
        <w:t xml:space="preserve"> </w:t>
      </w:r>
      <w:r>
        <w:rPr>
          <w:rFonts w:hint="default" w:ascii="Times New Roman" w:hAnsi="Times New Roman" w:cs="Times New Roman"/>
        </w:rPr>
        <w:t>fastest mode.</w:t>
      </w:r>
    </w:p>
    <w:p w14:paraId="5B0F747D">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19B6B8F6">
      <w:pPr>
        <w:jc w:val="both"/>
        <w:rPr>
          <w:rFonts w:hint="default" w:ascii="Times New Roman" w:hAnsi="Times New Roman" w:cs="Times New Roman"/>
        </w:rPr>
      </w:pPr>
      <w:r>
        <w:rPr>
          <w:rFonts w:hint="default" w:ascii="Times New Roman" w:hAnsi="Times New Roman" w:cs="Times New Roman"/>
          <w:b/>
          <w:bCs/>
        </w:rPr>
        <w:t xml:space="preserve">Folding option: </w:t>
      </w:r>
      <w:r>
        <w:rPr>
          <w:rFonts w:hint="default" w:ascii="Times New Roman" w:hAnsi="Times New Roman" w:cs="Times New Roman"/>
        </w:rPr>
        <w:t>Three options are available</w:t>
      </w:r>
      <w:r>
        <w:rPr>
          <w:rFonts w:hint="eastAsia" w:ascii="Times New Roman" w:hAnsi="Times New Roman" w:cs="Times New Roman"/>
          <w:lang w:val="en-US" w:eastAsia="zh-CN"/>
        </w:rPr>
        <w:t>(below)</w:t>
      </w:r>
      <w:r>
        <w:rPr>
          <w:rFonts w:hint="default" w:ascii="Times New Roman" w:hAnsi="Times New Roman" w:cs="Times New Roman"/>
        </w:rPr>
        <w:t>.</w:t>
      </w:r>
    </w:p>
    <w:p w14:paraId="4E3FAB55">
      <w:pPr>
        <w:jc w:val="both"/>
        <w:rPr>
          <w:rFonts w:hint="default" w:ascii="Times New Roman" w:hAnsi="Times New Roman" w:cs="Times New Roman"/>
        </w:rPr>
      </w:pPr>
      <w:r>
        <w:rPr>
          <w:rFonts w:hint="default" w:ascii="Times New Roman" w:hAnsi="Times New Roman" w:cs="Times New Roman"/>
        </w:rPr>
        <w:t>"Only consider the Optimal Structure": Only the lowest free energy structure is considered for</w:t>
      </w:r>
      <w:r>
        <w:rPr>
          <w:rFonts w:hint="eastAsia" w:ascii="Times New Roman" w:hAnsi="Times New Roman" w:cs="Times New Roman"/>
          <w:lang w:val="en-US" w:eastAsia="zh-CN"/>
        </w:rPr>
        <w:t xml:space="preserve"> </w:t>
      </w:r>
      <w:r>
        <w:rPr>
          <w:rFonts w:hint="default" w:ascii="Times New Roman" w:hAnsi="Times New Roman" w:cs="Times New Roman"/>
        </w:rPr>
        <w:t>the secondary structure prediction of RNA.</w:t>
      </w:r>
    </w:p>
    <w:p w14:paraId="2F3B547E">
      <w:pPr>
        <w:jc w:val="both"/>
        <w:rPr>
          <w:rFonts w:hint="default" w:ascii="Times New Roman" w:hAnsi="Times New Roman" w:cs="Times New Roman"/>
        </w:rPr>
      </w:pPr>
      <w:r>
        <w:rPr>
          <w:rFonts w:hint="default" w:ascii="Times New Roman" w:hAnsi="Times New Roman" w:cs="Times New Roman"/>
        </w:rPr>
        <w:t>"Consider Suboptimal Structures": Suboptimal structures are also considered using a heuristic</w:t>
      </w:r>
      <w:r>
        <w:rPr>
          <w:rFonts w:hint="eastAsia" w:ascii="Times New Roman" w:hAnsi="Times New Roman" w:cs="Times New Roman"/>
          <w:lang w:val="en-US" w:eastAsia="zh-CN"/>
        </w:rPr>
        <w:t xml:space="preserve"> </w:t>
      </w:r>
      <w:r>
        <w:rPr>
          <w:rFonts w:hint="default" w:ascii="Times New Roman" w:hAnsi="Times New Roman" w:cs="Times New Roman"/>
        </w:rPr>
        <w:t>method to find suboptimal RNA secondary structures.</w:t>
      </w:r>
    </w:p>
    <w:p w14:paraId="625EE682">
      <w:pPr>
        <w:jc w:val="both"/>
        <w:rPr>
          <w:rFonts w:hint="default" w:ascii="Times New Roman" w:hAnsi="Times New Roman" w:cs="Times New Roman"/>
        </w:rPr>
      </w:pPr>
      <w:r>
        <w:rPr>
          <w:rFonts w:hint="default" w:ascii="Times New Roman" w:hAnsi="Times New Roman" w:cs="Times New Roman"/>
        </w:rPr>
        <w:t>"Consider all possible structures using partition funcion": All possible structures are</w:t>
      </w:r>
      <w:r>
        <w:rPr>
          <w:rFonts w:hint="eastAsia" w:ascii="Times New Roman" w:hAnsi="Times New Roman" w:cs="Times New Roman"/>
          <w:lang w:val="en-US" w:eastAsia="zh-CN"/>
        </w:rPr>
        <w:t xml:space="preserve"> </w:t>
      </w:r>
      <w:r>
        <w:rPr>
          <w:rFonts w:hint="default" w:ascii="Times New Roman" w:hAnsi="Times New Roman" w:cs="Times New Roman"/>
        </w:rPr>
        <w:t>considered with a partition function calculation. This method is the most rigorous and is</w:t>
      </w:r>
      <w:r>
        <w:rPr>
          <w:rFonts w:hint="eastAsia" w:ascii="Times New Roman" w:hAnsi="Times New Roman" w:cs="Times New Roman"/>
          <w:lang w:val="en-US" w:eastAsia="zh-CN"/>
        </w:rPr>
        <w:t xml:space="preserve"> </w:t>
      </w:r>
      <w:r>
        <w:rPr>
          <w:rFonts w:hint="default" w:ascii="Times New Roman" w:hAnsi="Times New Roman" w:cs="Times New Roman"/>
        </w:rPr>
        <w:t>recommended for siRNA selection.</w:t>
      </w:r>
    </w:p>
    <w:p w14:paraId="0FB82659">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18B963D8">
      <w:pPr>
        <w:jc w:val="both"/>
        <w:rPr>
          <w:rFonts w:hint="default" w:ascii="Times New Roman" w:hAnsi="Times New Roman" w:cs="Times New Roman"/>
        </w:rPr>
      </w:pPr>
      <w:r>
        <w:rPr>
          <w:rFonts w:hint="default" w:ascii="Times New Roman" w:hAnsi="Times New Roman" w:cs="Times New Roman"/>
          <w:b/>
          <w:bCs/>
        </w:rPr>
        <w:t>Folding size:</w:t>
      </w:r>
      <w:r>
        <w:rPr>
          <w:rFonts w:hint="default" w:ascii="Times New Roman" w:hAnsi="Times New Roman" w:cs="Times New Roman"/>
        </w:rPr>
        <w:t xml:space="preserve"> When secondary structure of the taget is selected to be considered ("Break local</w:t>
      </w:r>
      <w:r>
        <w:rPr>
          <w:rFonts w:hint="eastAsia" w:ascii="Times New Roman" w:hAnsi="Times New Roman" w:cs="Times New Roman"/>
          <w:lang w:val="en-US" w:eastAsia="zh-CN"/>
        </w:rPr>
        <w:t xml:space="preserve"> </w:t>
      </w:r>
      <w:r>
        <w:rPr>
          <w:rFonts w:hint="default" w:ascii="Times New Roman" w:hAnsi="Times New Roman" w:cs="Times New Roman"/>
        </w:rPr>
        <w:t>structure" or "Refold target RNA"), the user can define the folding size of target. Then, a certain</w:t>
      </w:r>
      <w:r>
        <w:rPr>
          <w:rFonts w:hint="eastAsia" w:ascii="Times New Roman" w:hAnsi="Times New Roman" w:cs="Times New Roman"/>
          <w:lang w:val="en-US" w:eastAsia="zh-CN"/>
        </w:rPr>
        <w:t xml:space="preserve"> </w:t>
      </w:r>
      <w:r>
        <w:rPr>
          <w:rFonts w:hint="default" w:ascii="Times New Roman" w:hAnsi="Times New Roman" w:cs="Times New Roman"/>
        </w:rPr>
        <w:t>number of nucleotides centered at the binding region are considered for the secondary</w:t>
      </w:r>
      <w:r>
        <w:rPr>
          <w:rFonts w:hint="eastAsia" w:ascii="Times New Roman" w:hAnsi="Times New Roman" w:cs="Times New Roman"/>
          <w:lang w:val="en-US" w:eastAsia="zh-CN"/>
        </w:rPr>
        <w:t xml:space="preserve"> </w:t>
      </w:r>
      <w:r>
        <w:rPr>
          <w:rFonts w:hint="default" w:ascii="Times New Roman" w:hAnsi="Times New Roman" w:cs="Times New Roman"/>
        </w:rPr>
        <w:t>structure prediction.</w:t>
      </w:r>
    </w:p>
    <w:p w14:paraId="0FDEE18E">
      <w:pPr>
        <w:jc w:val="both"/>
        <w:rPr>
          <w:rFonts w:hint="eastAsia" w:ascii="Times New Roman" w:hAnsi="Times New Roman" w:cs="Times New Roman"/>
          <w:lang w:val="en-US" w:eastAsia="zh-CN"/>
        </w:rPr>
      </w:pPr>
      <w:r>
        <w:rPr>
          <w:rFonts w:hint="default" w:ascii="Times New Roman" w:hAnsi="Times New Roman" w:cs="Times New Roman"/>
          <w:b/>
          <w:bCs/>
        </w:rPr>
        <w:t xml:space="preserve">Scan region: </w:t>
      </w:r>
      <w:r>
        <w:rPr>
          <w:rFonts w:hint="default" w:ascii="Times New Roman" w:hAnsi="Times New Roman" w:cs="Times New Roman"/>
        </w:rPr>
        <w:t>The positions on the target region to be scanned to find the candidates. By</w:t>
      </w:r>
      <w:r>
        <w:rPr>
          <w:rFonts w:hint="eastAsia" w:ascii="Times New Roman" w:hAnsi="Times New Roman" w:cs="Times New Roman"/>
          <w:lang w:val="en-US" w:eastAsia="zh-CN"/>
        </w:rPr>
        <w:t xml:space="preserve"> </w:t>
      </w:r>
      <w:r>
        <w:rPr>
          <w:rFonts w:hint="default" w:ascii="Times New Roman" w:hAnsi="Times New Roman" w:cs="Times New Roman"/>
        </w:rPr>
        <w:t>defining a sub-region of the sequence, considerable compute time can be saved.</w:t>
      </w:r>
    </w:p>
    <w:p w14:paraId="14E99449">
      <w:pPr>
        <w:jc w:val="both"/>
        <w:rPr>
          <w:rFonts w:hint="default" w:ascii="Times New Roman" w:hAnsi="Times New Roman" w:cs="Times New Roman"/>
          <w:lang w:val="en-US" w:eastAsia="zh-CN"/>
        </w:rPr>
      </w:pPr>
      <w:r>
        <w:rPr>
          <w:rFonts w:hint="eastAsia" w:ascii="Times New Roman" w:hAnsi="Times New Roman" w:cs="Times New Roman"/>
          <w:lang w:val="en-US" w:eastAsia="zh-CN"/>
        </w:rPr>
        <w:t>$</w:t>
      </w:r>
    </w:p>
    <w:p w14:paraId="49DC2463">
      <w:pPr>
        <w:jc w:val="both"/>
        <w:rPr>
          <w:rFonts w:hint="default" w:ascii="Times New Roman" w:hAnsi="Times New Roman" w:cs="Times New Roman"/>
          <w:b/>
          <w:bCs/>
          <w:sz w:val="24"/>
          <w:szCs w:val="32"/>
        </w:rPr>
      </w:pPr>
      <w:r>
        <w:rPr>
          <w:rFonts w:hint="default" w:ascii="Times New Roman" w:hAnsi="Times New Roman" w:cs="Times New Roman"/>
          <w:b/>
          <w:bCs/>
          <w:sz w:val="24"/>
          <w:szCs w:val="32"/>
        </w:rPr>
        <w:t>III. Output</w:t>
      </w:r>
    </w:p>
    <w:p w14:paraId="710B5392">
      <w:pPr>
        <w:jc w:val="both"/>
        <w:rPr>
          <w:rFonts w:hint="default" w:ascii="Times New Roman" w:hAnsi="Times New Roman" w:cs="Times New Roman"/>
        </w:rPr>
      </w:pPr>
      <w:r>
        <w:rPr>
          <w:rFonts w:hint="default" w:ascii="Times New Roman" w:hAnsi="Times New Roman" w:cs="Times New Roman"/>
        </w:rPr>
        <w:t>The server generates an siRNA candidate table ranked by the probability of being efficient at</w:t>
      </w:r>
    </w:p>
    <w:p w14:paraId="5993A935">
      <w:pPr>
        <w:jc w:val="both"/>
        <w:rPr>
          <w:rFonts w:hint="default" w:ascii="Times New Roman" w:hAnsi="Times New Roman" w:cs="Times New Roman"/>
        </w:rPr>
      </w:pPr>
      <w:r>
        <w:rPr>
          <w:rFonts w:hint="default" w:ascii="Times New Roman" w:hAnsi="Times New Roman" w:cs="Times New Roman"/>
        </w:rPr>
        <w:t>knock-down. It also outputs a thermodynamic table:</w:t>
      </w:r>
    </w:p>
    <w:p w14:paraId="4D115BC8">
      <w:pPr>
        <w:jc w:val="both"/>
        <w:rPr>
          <w:rFonts w:hint="default" w:ascii="Times New Roman" w:hAnsi="Times New Roman" w:cs="Times New Roman"/>
        </w:rPr>
      </w:pPr>
      <w:r>
        <w:rPr>
          <w:rFonts w:hint="default" w:ascii="Times New Roman" w:hAnsi="Times New Roman" w:cs="Times New Roman"/>
        </w:rPr>
        <w:t>1. Overall ΔG: The net free energy change when all contributions in the above figure are</w:t>
      </w:r>
      <w:r>
        <w:rPr>
          <w:rFonts w:hint="eastAsia" w:ascii="Times New Roman" w:hAnsi="Times New Roman" w:cs="Times New Roman"/>
          <w:lang w:val="en-US" w:eastAsia="zh-CN"/>
        </w:rPr>
        <w:t xml:space="preserve"> </w:t>
      </w:r>
      <w:r>
        <w:rPr>
          <w:rFonts w:hint="default" w:ascii="Times New Roman" w:hAnsi="Times New Roman" w:cs="Times New Roman"/>
        </w:rPr>
        <w:t>considered. The target-siRNA complex product prefers negative Overall ΔG .</w:t>
      </w:r>
    </w:p>
    <w:p w14:paraId="420A8991">
      <w:pPr>
        <w:jc w:val="both"/>
        <w:rPr>
          <w:rFonts w:hint="default" w:ascii="Times New Roman" w:hAnsi="Times New Roman" w:cs="Times New Roman"/>
        </w:rPr>
      </w:pPr>
      <w:r>
        <w:rPr>
          <w:rFonts w:hint="default" w:ascii="Times New Roman" w:hAnsi="Times New Roman" w:cs="Times New Roman"/>
        </w:rPr>
        <w:t>2. Duplex ΔG : The free energy change of hybidized duplex between oligomer and target.</w:t>
      </w:r>
      <w:r>
        <w:rPr>
          <w:rFonts w:hint="eastAsia" w:ascii="Times New Roman" w:hAnsi="Times New Roman" w:cs="Times New Roman"/>
          <w:lang w:val="en-US" w:eastAsia="zh-CN"/>
        </w:rPr>
        <w:t xml:space="preserve"> </w:t>
      </w:r>
      <w:r>
        <w:rPr>
          <w:rFonts w:hint="default" w:ascii="Times New Roman" w:hAnsi="Times New Roman" w:cs="Times New Roman"/>
        </w:rPr>
        <w:t>Stable duplex has more negative ΔG than unstable one.</w:t>
      </w:r>
    </w:p>
    <w:p w14:paraId="1A9DF342">
      <w:pPr>
        <w:jc w:val="both"/>
        <w:rPr>
          <w:rFonts w:hint="eastAsia" w:ascii="Times New Roman" w:hAnsi="Times New Roman" w:cs="Times New Roman" w:eastAsiaTheme="minorEastAsia"/>
          <w:lang w:val="en-US" w:eastAsia="zh-CN"/>
        </w:rPr>
      </w:pPr>
      <w:r>
        <w:rPr>
          <w:rFonts w:hint="default" w:ascii="Times New Roman" w:hAnsi="Times New Roman" w:cs="Times New Roman"/>
        </w:rPr>
        <w:t>3. Tm-dup: The melting temperature in degrees C for the hybrided duplex formation</w:t>
      </w:r>
      <w:r>
        <w:rPr>
          <w:rFonts w:hint="eastAsia" w:ascii="Times New Roman" w:hAnsi="Times New Roman" w:cs="Times New Roman"/>
          <w:lang w:val="en-US" w:eastAsia="zh-CN"/>
        </w:rPr>
        <w:t>.</w:t>
      </w:r>
    </w:p>
    <w:p w14:paraId="531AFB71">
      <w:pPr>
        <w:jc w:val="both"/>
        <w:rPr>
          <w:rFonts w:hint="default" w:ascii="Times New Roman" w:hAnsi="Times New Roman" w:cs="Times New Roman"/>
        </w:rPr>
      </w:pPr>
      <w:r>
        <w:rPr>
          <w:rFonts w:hint="default" w:ascii="Times New Roman" w:hAnsi="Times New Roman" w:cs="Times New Roman"/>
        </w:rPr>
        <w:t>4. Break-targ. ΔG: The free energy cost for opening base pairs in the region of</w:t>
      </w:r>
      <w:r>
        <w:rPr>
          <w:rFonts w:hint="eastAsia" w:ascii="Times New Roman" w:hAnsi="Times New Roman" w:cs="Times New Roman"/>
          <w:lang w:val="en-US" w:eastAsia="zh-CN"/>
        </w:rPr>
        <w:t xml:space="preserve"> </w:t>
      </w:r>
      <w:r>
        <w:rPr>
          <w:rFonts w:hint="default" w:ascii="Times New Roman" w:hAnsi="Times New Roman" w:cs="Times New Roman"/>
        </w:rPr>
        <w:t>complementarity to the target. More negative value means it is less accessible for siRNA</w:t>
      </w:r>
      <w:r>
        <w:rPr>
          <w:rFonts w:hint="eastAsia" w:ascii="Times New Roman" w:hAnsi="Times New Roman" w:cs="Times New Roman"/>
          <w:lang w:val="en-US" w:eastAsia="zh-CN"/>
        </w:rPr>
        <w:t xml:space="preserve"> </w:t>
      </w:r>
      <w:r>
        <w:rPr>
          <w:rFonts w:hint="default" w:ascii="Times New Roman" w:hAnsi="Times New Roman" w:cs="Times New Roman"/>
        </w:rPr>
        <w:t>binding.</w:t>
      </w:r>
    </w:p>
    <w:p w14:paraId="2601F139">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3F17012F">
      <w:pPr>
        <w:jc w:val="both"/>
        <w:rPr>
          <w:rFonts w:hint="eastAsia" w:ascii="Times New Roman" w:hAnsi="Times New Roman" w:cs="Times New Roman" w:eastAsiaTheme="minorEastAsia"/>
          <w:lang w:val="en-US" w:eastAsia="zh-CN"/>
        </w:rPr>
      </w:pPr>
      <w:r>
        <w:rPr>
          <w:rFonts w:hint="default" w:ascii="Times New Roman" w:hAnsi="Times New Roman" w:cs="Times New Roman"/>
        </w:rPr>
        <w:t>5. Intraoligo ΔG: The free energy change of the self structure of unimolecular oligo. Stable self</w:t>
      </w:r>
      <w:r>
        <w:rPr>
          <w:rFonts w:hint="eastAsia" w:ascii="Times New Roman" w:hAnsi="Times New Roman" w:cs="Times New Roman"/>
          <w:lang w:val="en-US" w:eastAsia="zh-CN"/>
        </w:rPr>
        <w:t xml:space="preserve"> </w:t>
      </w:r>
      <w:r>
        <w:rPr>
          <w:rFonts w:hint="default" w:ascii="Times New Roman" w:hAnsi="Times New Roman" w:cs="Times New Roman"/>
        </w:rPr>
        <w:t>structure has more negative ΔG than unstable one</w:t>
      </w:r>
      <w:r>
        <w:rPr>
          <w:rFonts w:hint="eastAsia" w:ascii="Times New Roman" w:hAnsi="Times New Roman" w:cs="Times New Roman"/>
          <w:lang w:val="en-US" w:eastAsia="zh-CN"/>
        </w:rPr>
        <w:t>.</w:t>
      </w:r>
    </w:p>
    <w:p w14:paraId="0FAC2C0C">
      <w:pPr>
        <w:jc w:val="both"/>
        <w:rPr>
          <w:rFonts w:hint="eastAsia" w:ascii="Times New Roman" w:hAnsi="Times New Roman" w:cs="Times New Roman" w:eastAsiaTheme="minorEastAsia"/>
          <w:lang w:val="en-US" w:eastAsia="zh-CN"/>
        </w:rPr>
      </w:pPr>
      <w:r>
        <w:rPr>
          <w:rFonts w:hint="default" w:ascii="Times New Roman" w:hAnsi="Times New Roman" w:cs="Times New Roman"/>
        </w:rPr>
        <w:t>6. Interoligo ΔG: The free energy change of oligo-oligo dimer. Stable dimerization has more</w:t>
      </w:r>
      <w:r>
        <w:rPr>
          <w:rFonts w:hint="eastAsia" w:ascii="Times New Roman" w:hAnsi="Times New Roman" w:cs="Times New Roman"/>
          <w:lang w:val="en-US" w:eastAsia="zh-CN"/>
        </w:rPr>
        <w:t xml:space="preserve"> </w:t>
      </w:r>
      <w:r>
        <w:rPr>
          <w:rFonts w:hint="default" w:ascii="Times New Roman" w:hAnsi="Times New Roman" w:cs="Times New Roman"/>
        </w:rPr>
        <w:t>negative ΔG than unstable one</w:t>
      </w:r>
      <w:r>
        <w:rPr>
          <w:rFonts w:hint="eastAsia" w:ascii="Times New Roman" w:hAnsi="Times New Roman" w:cs="Times New Roman"/>
          <w:lang w:val="en-US" w:eastAsia="zh-CN"/>
        </w:rPr>
        <w:t>.</w:t>
      </w:r>
    </w:p>
    <w:p w14:paraId="17268106">
      <w:pPr>
        <w:jc w:val="both"/>
        <w:rPr>
          <w:rFonts w:hint="default" w:ascii="Times New Roman" w:hAnsi="Times New Roman" w:cs="Times New Roman"/>
        </w:rPr>
      </w:pPr>
      <w:r>
        <w:rPr>
          <w:rFonts w:hint="default" w:ascii="Times New Roman" w:hAnsi="Times New Roman" w:cs="Times New Roman"/>
        </w:rPr>
        <w:t>7. Number of structures: The number of suboptimal structures of target used before and after</w:t>
      </w:r>
      <w:r>
        <w:rPr>
          <w:rFonts w:hint="eastAsia" w:ascii="Times New Roman" w:hAnsi="Times New Roman" w:cs="Times New Roman"/>
          <w:lang w:val="en-US" w:eastAsia="zh-CN"/>
        </w:rPr>
        <w:t xml:space="preserve"> </w:t>
      </w:r>
      <w:r>
        <w:rPr>
          <w:rFonts w:hint="default" w:ascii="Times New Roman" w:hAnsi="Times New Roman" w:cs="Times New Roman"/>
        </w:rPr>
        <w:t>the binding of oligomer. This is only available when "Consider Suboptimal Structures" is</w:t>
      </w:r>
      <w:r>
        <w:rPr>
          <w:rFonts w:hint="eastAsia" w:ascii="Times New Roman" w:hAnsi="Times New Roman" w:cs="Times New Roman"/>
          <w:lang w:val="en-US" w:eastAsia="zh-CN"/>
        </w:rPr>
        <w:t xml:space="preserve"> </w:t>
      </w:r>
      <w:r>
        <w:rPr>
          <w:rFonts w:hint="default" w:ascii="Times New Roman" w:hAnsi="Times New Roman" w:cs="Times New Roman"/>
        </w:rPr>
        <w:t>selected.</w:t>
      </w:r>
    </w:p>
    <w:p w14:paraId="0816F5B2">
      <w:pPr>
        <w:jc w:val="both"/>
        <w:rPr>
          <w:rFonts w:hint="default" w:ascii="Times New Roman" w:hAnsi="Times New Roman" w:cs="Times New Roman"/>
        </w:rPr>
      </w:pPr>
      <w:r>
        <w:rPr>
          <w:rFonts w:hint="default" w:ascii="Times New Roman" w:hAnsi="Times New Roman" w:cs="Times New Roman"/>
        </w:rPr>
        <w:t>8. End-diff. : The free energy difference between the 5' and 3' end of the antisense strand of</w:t>
      </w:r>
      <w:r>
        <w:rPr>
          <w:rFonts w:hint="eastAsia" w:ascii="Times New Roman" w:hAnsi="Times New Roman" w:cs="Times New Roman"/>
          <w:lang w:val="en-US" w:eastAsia="zh-CN"/>
        </w:rPr>
        <w:t xml:space="preserve"> </w:t>
      </w:r>
      <w:r>
        <w:rPr>
          <w:rFonts w:hint="default" w:ascii="Times New Roman" w:hAnsi="Times New Roman" w:cs="Times New Roman"/>
        </w:rPr>
        <w:t>siRNA, with windows of 2. It has been shown that a functional siRNA prefer to have an unstable</w:t>
      </w:r>
      <w:r>
        <w:rPr>
          <w:rFonts w:hint="eastAsia" w:ascii="Times New Roman" w:hAnsi="Times New Roman" w:cs="Times New Roman"/>
          <w:lang w:val="en-US" w:eastAsia="zh-CN"/>
        </w:rPr>
        <w:t xml:space="preserve"> </w:t>
      </w:r>
      <w:r>
        <w:rPr>
          <w:rFonts w:hint="default" w:ascii="Times New Roman" w:hAnsi="Times New Roman" w:cs="Times New Roman"/>
        </w:rPr>
        <w:t>5' end (End-diff is more positive).</w:t>
      </w:r>
    </w:p>
    <w:p w14:paraId="35CA5C89">
      <w:pPr>
        <w:jc w:val="both"/>
        <w:rPr>
          <w:rFonts w:hint="default" w:ascii="Times New Roman" w:hAnsi="Times New Roman" w:cs="Times New Roman"/>
        </w:rPr>
      </w:pPr>
      <w:r>
        <w:rPr>
          <w:rFonts w:hint="default" w:ascii="Times New Roman" w:hAnsi="Times New Roman" w:cs="Times New Roman"/>
        </w:rPr>
        <w:t>9. Prefilter score: The score calculated using Reynold et al. method.</w:t>
      </w:r>
    </w:p>
    <w:p w14:paraId="268B35DE">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50985485">
      <w:pPr>
        <w:jc w:val="both"/>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C070F5E">
      <w:pPr>
        <w:jc w:val="both"/>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72A9CED">
      <w:pPr>
        <w:jc w:val="both"/>
        <w:rPr>
          <w:rFonts w:hint="default" w:ascii="Times New Roman" w:hAnsi="Times New Roman" w:cs="Times New Roman"/>
          <w:b/>
          <w:bCs/>
          <w:sz w:val="24"/>
          <w:szCs w:val="32"/>
        </w:rPr>
      </w:pPr>
      <w:r>
        <w:rPr>
          <w:rFonts w:hint="default" w:ascii="Times New Roman" w:hAnsi="Times New Roman" w:cs="Times New Roman"/>
          <w:b/>
          <w:bCs/>
          <w:sz w:val="24"/>
          <w:szCs w:val="32"/>
        </w:rPr>
        <w:t>IV. Calculation Time</w:t>
      </w:r>
    </w:p>
    <w:p w14:paraId="2B8A6371">
      <w:pPr>
        <w:jc w:val="both"/>
        <w:rPr>
          <w:rFonts w:hint="default" w:ascii="Times New Roman" w:hAnsi="Times New Roman" w:cs="Times New Roman"/>
        </w:rPr>
      </w:pPr>
      <w:r>
        <w:rPr>
          <w:rFonts w:hint="default" w:ascii="Times New Roman" w:hAnsi="Times New Roman" w:cs="Times New Roman"/>
        </w:rPr>
        <w:t>Calculation time and memory size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7"/>
        <w:gridCol w:w="2764"/>
        <w:gridCol w:w="1950"/>
        <w:gridCol w:w="1491"/>
      </w:tblGrid>
      <w:tr w14:paraId="7DBD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17" w:type="dxa"/>
            <w:tcBorders>
              <w:top w:val="single" w:color="000000" w:sz="12" w:space="0"/>
              <w:left w:val="nil"/>
              <w:bottom w:val="single" w:color="000000" w:sz="4" w:space="0"/>
              <w:right w:val="nil"/>
              <w:tl2br w:val="nil"/>
            </w:tcBorders>
            <w:shd w:val="clear" w:color="auto" w:fill="FFFFFF"/>
            <w:vAlign w:val="center"/>
          </w:tcPr>
          <w:p w14:paraId="14493C0C">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Target mRNA (Genbank ID)</w:t>
            </w:r>
          </w:p>
        </w:tc>
        <w:tc>
          <w:tcPr>
            <w:tcW w:w="2764" w:type="dxa"/>
            <w:tcBorders>
              <w:top w:val="single" w:color="000000" w:sz="12" w:space="0"/>
              <w:left w:val="nil"/>
              <w:bottom w:val="single" w:color="000000" w:sz="4" w:space="0"/>
              <w:right w:val="nil"/>
            </w:tcBorders>
            <w:shd w:val="clear" w:color="auto" w:fill="FFFFFF"/>
            <w:vAlign w:val="center"/>
          </w:tcPr>
          <w:p w14:paraId="5D08C3CA">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Sequence length (nucleotide)</w:t>
            </w:r>
          </w:p>
        </w:tc>
        <w:tc>
          <w:tcPr>
            <w:tcW w:w="1950" w:type="dxa"/>
            <w:tcBorders>
              <w:top w:val="single" w:color="000000" w:sz="12" w:space="0"/>
              <w:left w:val="nil"/>
              <w:bottom w:val="single" w:color="000000" w:sz="4" w:space="0"/>
              <w:right w:val="nil"/>
            </w:tcBorders>
            <w:shd w:val="clear" w:color="auto" w:fill="FFFFFF"/>
            <w:vAlign w:val="center"/>
          </w:tcPr>
          <w:p w14:paraId="55BA5182">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 xml:space="preserve">Time </w:t>
            </w:r>
            <w:r>
              <w:rPr>
                <w:rFonts w:hint="default" w:ascii="Times New Roman" w:hAnsi="Times New Roman" w:eastAsia="宋体" w:cs="Times New Roman"/>
                <w:b w:val="0"/>
                <w:i/>
                <w:iCs/>
                <w:color w:val="000000"/>
                <w:kern w:val="0"/>
                <w:sz w:val="18"/>
                <w:szCs w:val="18"/>
                <w:lang w:val="en-US" w:eastAsia="zh-CN" w:bidi="ar"/>
              </w:rPr>
              <w:t xml:space="preserve">a </w:t>
            </w:r>
            <w:r>
              <w:rPr>
                <w:rFonts w:hint="default" w:ascii="Times New Roman" w:hAnsi="Times New Roman" w:eastAsia="宋体" w:cs="Times New Roman"/>
                <w:b w:val="0"/>
                <w:color w:val="000000"/>
                <w:kern w:val="0"/>
                <w:sz w:val="18"/>
                <w:szCs w:val="18"/>
                <w:lang w:val="en-US" w:eastAsia="zh-CN" w:bidi="ar"/>
              </w:rPr>
              <w:t>(h:min:sec)</w:t>
            </w:r>
          </w:p>
        </w:tc>
        <w:tc>
          <w:tcPr>
            <w:tcW w:w="1491" w:type="dxa"/>
            <w:tcBorders>
              <w:top w:val="single" w:color="000000" w:sz="12" w:space="0"/>
              <w:left w:val="nil"/>
              <w:bottom w:val="single" w:color="000000" w:sz="4" w:space="0"/>
              <w:right w:val="nil"/>
            </w:tcBorders>
            <w:shd w:val="clear" w:color="auto" w:fill="FFFFFF"/>
            <w:vAlign w:val="center"/>
          </w:tcPr>
          <w:p w14:paraId="48CC442F">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Memory(MB)</w:t>
            </w:r>
          </w:p>
        </w:tc>
      </w:tr>
      <w:tr w14:paraId="4782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Borders>
              <w:top w:val="single" w:color="000000" w:sz="4" w:space="0"/>
              <w:left w:val="nil"/>
              <w:bottom w:val="nil"/>
              <w:right w:val="nil"/>
            </w:tcBorders>
            <w:shd w:val="clear" w:color="auto" w:fill="FFFFFF"/>
            <w:vAlign w:val="center"/>
          </w:tcPr>
          <w:p w14:paraId="42ED4704">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NM_020548</w:t>
            </w:r>
          </w:p>
        </w:tc>
        <w:tc>
          <w:tcPr>
            <w:tcW w:w="2764" w:type="dxa"/>
            <w:tcBorders>
              <w:top w:val="single" w:color="000000" w:sz="4" w:space="0"/>
              <w:left w:val="nil"/>
              <w:bottom w:val="nil"/>
              <w:right w:val="nil"/>
            </w:tcBorders>
            <w:shd w:val="clear" w:color="auto" w:fill="FFFFFF"/>
            <w:vAlign w:val="center"/>
          </w:tcPr>
          <w:p w14:paraId="57AF0643">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 xml:space="preserve">730 </w:t>
            </w:r>
            <w:r>
              <w:rPr>
                <w:rFonts w:hint="default" w:ascii="Times New Roman" w:hAnsi="Times New Roman" w:eastAsia="宋体" w:cs="Times New Roman"/>
                <w:b w:val="0"/>
                <w:i/>
                <w:iCs/>
                <w:color w:val="000000"/>
                <w:kern w:val="0"/>
                <w:sz w:val="18"/>
                <w:szCs w:val="18"/>
                <w:lang w:val="en-US" w:eastAsia="zh-CN" w:bidi="ar"/>
              </w:rPr>
              <w:t>b</w:t>
            </w:r>
          </w:p>
        </w:tc>
        <w:tc>
          <w:tcPr>
            <w:tcW w:w="1950" w:type="dxa"/>
            <w:tcBorders>
              <w:top w:val="single" w:color="000000" w:sz="4" w:space="0"/>
              <w:left w:val="nil"/>
              <w:bottom w:val="nil"/>
              <w:right w:val="nil"/>
            </w:tcBorders>
            <w:shd w:val="clear" w:color="auto" w:fill="FFFFFF"/>
            <w:vAlign w:val="center"/>
          </w:tcPr>
          <w:p w14:paraId="2B08896A">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0:57:17</w:t>
            </w:r>
          </w:p>
        </w:tc>
        <w:tc>
          <w:tcPr>
            <w:tcW w:w="1491" w:type="dxa"/>
            <w:tcBorders>
              <w:top w:val="single" w:color="000000" w:sz="4" w:space="0"/>
              <w:left w:val="nil"/>
              <w:bottom w:val="nil"/>
              <w:right w:val="nil"/>
            </w:tcBorders>
            <w:shd w:val="clear" w:color="auto" w:fill="FFFFFF"/>
            <w:vAlign w:val="center"/>
          </w:tcPr>
          <w:p w14:paraId="0DC393C0">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93</w:t>
            </w:r>
          </w:p>
        </w:tc>
      </w:tr>
      <w:tr w14:paraId="64FC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Borders>
              <w:top w:val="nil"/>
              <w:left w:val="nil"/>
              <w:bottom w:val="nil"/>
              <w:right w:val="nil"/>
            </w:tcBorders>
            <w:shd w:val="clear" w:color="auto" w:fill="FFFFFF"/>
            <w:vAlign w:val="center"/>
          </w:tcPr>
          <w:p w14:paraId="443F2505">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M60857</w:t>
            </w:r>
          </w:p>
        </w:tc>
        <w:tc>
          <w:tcPr>
            <w:tcW w:w="2764" w:type="dxa"/>
            <w:tcBorders>
              <w:top w:val="nil"/>
              <w:left w:val="nil"/>
              <w:bottom w:val="nil"/>
              <w:right w:val="nil"/>
            </w:tcBorders>
            <w:shd w:val="clear" w:color="auto" w:fill="FFFFFF"/>
            <w:vAlign w:val="center"/>
          </w:tcPr>
          <w:p w14:paraId="420E4010">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851</w:t>
            </w:r>
          </w:p>
        </w:tc>
        <w:tc>
          <w:tcPr>
            <w:tcW w:w="1950" w:type="dxa"/>
            <w:tcBorders>
              <w:top w:val="nil"/>
              <w:left w:val="nil"/>
              <w:bottom w:val="nil"/>
              <w:right w:val="nil"/>
            </w:tcBorders>
            <w:shd w:val="clear" w:color="auto" w:fill="FFFFFF"/>
            <w:vAlign w:val="center"/>
          </w:tcPr>
          <w:p w14:paraId="20BCE6A3">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3:55:53</w:t>
            </w:r>
          </w:p>
        </w:tc>
        <w:tc>
          <w:tcPr>
            <w:tcW w:w="1491" w:type="dxa"/>
            <w:tcBorders>
              <w:top w:val="nil"/>
              <w:left w:val="nil"/>
              <w:bottom w:val="nil"/>
              <w:right w:val="nil"/>
            </w:tcBorders>
            <w:shd w:val="clear" w:color="auto" w:fill="FFFFFF"/>
            <w:vAlign w:val="center"/>
          </w:tcPr>
          <w:p w14:paraId="4F80B895">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110</w:t>
            </w:r>
          </w:p>
        </w:tc>
      </w:tr>
      <w:tr w14:paraId="2161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Borders>
              <w:top w:val="nil"/>
              <w:left w:val="nil"/>
              <w:bottom w:val="nil"/>
              <w:right w:val="nil"/>
            </w:tcBorders>
            <w:shd w:val="clear" w:color="auto" w:fill="FFFFFF"/>
            <w:vAlign w:val="center"/>
          </w:tcPr>
          <w:p w14:paraId="30BE4A52">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NM_002870</w:t>
            </w:r>
          </w:p>
        </w:tc>
        <w:tc>
          <w:tcPr>
            <w:tcW w:w="2764" w:type="dxa"/>
            <w:tcBorders>
              <w:top w:val="nil"/>
              <w:left w:val="nil"/>
              <w:bottom w:val="nil"/>
              <w:right w:val="nil"/>
            </w:tcBorders>
            <w:shd w:val="clear" w:color="auto" w:fill="FFFFFF"/>
            <w:vAlign w:val="center"/>
          </w:tcPr>
          <w:p w14:paraId="6711ED42">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1211</w:t>
            </w:r>
          </w:p>
        </w:tc>
        <w:tc>
          <w:tcPr>
            <w:tcW w:w="1950" w:type="dxa"/>
            <w:tcBorders>
              <w:top w:val="nil"/>
              <w:left w:val="nil"/>
              <w:bottom w:val="nil"/>
              <w:right w:val="nil"/>
            </w:tcBorders>
            <w:shd w:val="clear" w:color="auto" w:fill="FFFFFF"/>
            <w:vAlign w:val="center"/>
          </w:tcPr>
          <w:p w14:paraId="725835BD">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6:09:25</w:t>
            </w:r>
          </w:p>
        </w:tc>
        <w:tc>
          <w:tcPr>
            <w:tcW w:w="1491" w:type="dxa"/>
            <w:tcBorders>
              <w:top w:val="nil"/>
              <w:left w:val="nil"/>
              <w:bottom w:val="nil"/>
              <w:right w:val="nil"/>
            </w:tcBorders>
            <w:shd w:val="clear" w:color="auto" w:fill="FFFFFF"/>
            <w:vAlign w:val="center"/>
          </w:tcPr>
          <w:p w14:paraId="0CAE9AC4">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112</w:t>
            </w:r>
          </w:p>
        </w:tc>
      </w:tr>
      <w:tr w14:paraId="15054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Borders>
              <w:top w:val="nil"/>
              <w:left w:val="nil"/>
              <w:bottom w:val="nil"/>
              <w:right w:val="nil"/>
            </w:tcBorders>
            <w:shd w:val="clear" w:color="auto" w:fill="FFFFFF"/>
            <w:vAlign w:val="center"/>
          </w:tcPr>
          <w:p w14:paraId="739E244C">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NM_002467</w:t>
            </w:r>
          </w:p>
        </w:tc>
        <w:tc>
          <w:tcPr>
            <w:tcW w:w="2764" w:type="dxa"/>
            <w:tcBorders>
              <w:top w:val="nil"/>
              <w:left w:val="nil"/>
              <w:bottom w:val="nil"/>
              <w:right w:val="nil"/>
            </w:tcBorders>
            <w:shd w:val="clear" w:color="auto" w:fill="FFFFFF"/>
            <w:vAlign w:val="center"/>
          </w:tcPr>
          <w:p w14:paraId="17BAD145">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2189</w:t>
            </w:r>
          </w:p>
        </w:tc>
        <w:tc>
          <w:tcPr>
            <w:tcW w:w="1950" w:type="dxa"/>
            <w:tcBorders>
              <w:top w:val="nil"/>
              <w:left w:val="nil"/>
              <w:bottom w:val="nil"/>
              <w:right w:val="nil"/>
            </w:tcBorders>
            <w:shd w:val="clear" w:color="auto" w:fill="FFFFFF"/>
            <w:vAlign w:val="center"/>
          </w:tcPr>
          <w:p w14:paraId="1464AC8E">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6:36:42</w:t>
            </w:r>
          </w:p>
        </w:tc>
        <w:tc>
          <w:tcPr>
            <w:tcW w:w="1491" w:type="dxa"/>
            <w:tcBorders>
              <w:top w:val="nil"/>
              <w:left w:val="nil"/>
              <w:bottom w:val="nil"/>
              <w:right w:val="nil"/>
            </w:tcBorders>
            <w:shd w:val="clear" w:color="auto" w:fill="FFFFFF"/>
            <w:vAlign w:val="center"/>
          </w:tcPr>
          <w:p w14:paraId="299B8FF7">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113</w:t>
            </w:r>
          </w:p>
        </w:tc>
      </w:tr>
      <w:tr w14:paraId="510C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7" w:type="dxa"/>
            <w:tcBorders>
              <w:top w:val="nil"/>
              <w:left w:val="nil"/>
              <w:bottom w:val="single" w:color="000000" w:sz="12" w:space="0"/>
              <w:right w:val="nil"/>
            </w:tcBorders>
            <w:shd w:val="clear" w:color="auto" w:fill="FFFFFF"/>
            <w:vAlign w:val="center"/>
          </w:tcPr>
          <w:p w14:paraId="2B5F0DAA">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AJ272212</w:t>
            </w:r>
          </w:p>
        </w:tc>
        <w:tc>
          <w:tcPr>
            <w:tcW w:w="2764" w:type="dxa"/>
            <w:tcBorders>
              <w:top w:val="nil"/>
              <w:left w:val="nil"/>
              <w:bottom w:val="single" w:color="000000" w:sz="12" w:space="0"/>
              <w:right w:val="nil"/>
            </w:tcBorders>
            <w:shd w:val="clear" w:color="auto" w:fill="FFFFFF"/>
            <w:vAlign w:val="center"/>
          </w:tcPr>
          <w:p w14:paraId="2359412E">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3460</w:t>
            </w:r>
          </w:p>
        </w:tc>
        <w:tc>
          <w:tcPr>
            <w:tcW w:w="1950" w:type="dxa"/>
            <w:tcBorders>
              <w:top w:val="nil"/>
              <w:left w:val="nil"/>
              <w:bottom w:val="single" w:color="000000" w:sz="12" w:space="0"/>
              <w:right w:val="nil"/>
            </w:tcBorders>
            <w:shd w:val="clear" w:color="auto" w:fill="FFFFFF"/>
            <w:vAlign w:val="center"/>
          </w:tcPr>
          <w:p w14:paraId="5D469D98">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6:53:05</w:t>
            </w:r>
          </w:p>
        </w:tc>
        <w:tc>
          <w:tcPr>
            <w:tcW w:w="1491" w:type="dxa"/>
            <w:tcBorders>
              <w:top w:val="nil"/>
              <w:left w:val="nil"/>
              <w:bottom w:val="single" w:color="000000" w:sz="12" w:space="0"/>
              <w:right w:val="nil"/>
            </w:tcBorders>
            <w:shd w:val="clear" w:color="auto" w:fill="FFFFFF"/>
            <w:vAlign w:val="center"/>
          </w:tcPr>
          <w:p w14:paraId="598E17DD">
            <w:pPr>
              <w:keepNext w:val="0"/>
              <w:keepLines w:val="0"/>
              <w:widowControl/>
              <w:suppressLineNumbers w:val="0"/>
              <w:jc w:val="center"/>
              <w:rPr>
                <w:rFonts w:hint="default" w:ascii="Times New Roman" w:hAnsi="Times New Roman" w:cs="Times New Roman"/>
                <w:b w:val="0"/>
                <w:color w:val="000000"/>
                <w:sz w:val="18"/>
                <w:szCs w:val="18"/>
                <w:vertAlign w:val="baseline"/>
              </w:rPr>
            </w:pPr>
            <w:r>
              <w:rPr>
                <w:rFonts w:hint="default" w:ascii="Times New Roman" w:hAnsi="Times New Roman" w:eastAsia="宋体" w:cs="Times New Roman"/>
                <w:b w:val="0"/>
                <w:color w:val="000000"/>
                <w:kern w:val="0"/>
                <w:sz w:val="18"/>
                <w:szCs w:val="18"/>
                <w:lang w:val="en-US" w:eastAsia="zh-CN" w:bidi="ar"/>
              </w:rPr>
              <w:t>117</w:t>
            </w:r>
          </w:p>
        </w:tc>
      </w:tr>
    </w:tbl>
    <w:p w14:paraId="286CF78A">
      <w:pPr>
        <w:jc w:val="both"/>
        <w:rPr>
          <w:rFonts w:hint="default" w:ascii="Times New Roman" w:hAnsi="Times New Roman" w:cs="Times New Roman"/>
        </w:rPr>
      </w:pPr>
      <w:r>
        <w:rPr>
          <w:rFonts w:hint="default" w:ascii="Times New Roman" w:hAnsi="Times New Roman" w:cs="Times New Roman"/>
        </w:rPr>
        <w:t>The benchmarks were performed with the default options:</w:t>
      </w:r>
    </w:p>
    <w:p w14:paraId="25A5D6E7">
      <w:pPr>
        <w:jc w:val="both"/>
        <w:rPr>
          <w:rFonts w:hint="default" w:ascii="Times New Roman" w:hAnsi="Times New Roman" w:cs="Times New Roman"/>
        </w:rPr>
      </w:pPr>
      <w:r>
        <w:rPr>
          <w:rFonts w:hint="default" w:ascii="Times New Roman" w:hAnsi="Times New Roman" w:cs="Times New Roman"/>
        </w:rPr>
        <w:t>The oligonucleotide was a 19 base RNA; the folding size of</w:t>
      </w:r>
      <w:r>
        <w:rPr>
          <w:rFonts w:hint="eastAsia" w:ascii="Times New Roman" w:hAnsi="Times New Roman" w:cs="Times New Roman"/>
          <w:lang w:val="en-US" w:eastAsia="zh-CN"/>
        </w:rPr>
        <w:t xml:space="preserve"> </w:t>
      </w:r>
      <w:r>
        <w:rPr>
          <w:rFonts w:hint="default" w:ascii="Times New Roman" w:hAnsi="Times New Roman" w:cs="Times New Roman"/>
        </w:rPr>
        <w:t>the target was 800 nucleotides centering on the binding site</w:t>
      </w:r>
      <w:r>
        <w:rPr>
          <w:rFonts w:hint="eastAsia" w:ascii="Times New Roman" w:hAnsi="Times New Roman" w:cs="Times New Roman"/>
          <w:lang w:val="en-US" w:eastAsia="zh-CN"/>
        </w:rPr>
        <w:t xml:space="preserve"> </w:t>
      </w:r>
      <w:r>
        <w:rPr>
          <w:rFonts w:hint="default" w:ascii="Times New Roman" w:hAnsi="Times New Roman" w:cs="Times New Roman"/>
        </w:rPr>
        <w:t>(full length if the whole target has less than 800 nt); the</w:t>
      </w:r>
      <w:r>
        <w:rPr>
          <w:rFonts w:hint="eastAsia" w:ascii="Times New Roman" w:hAnsi="Times New Roman" w:cs="Times New Roman"/>
          <w:lang w:val="en-US" w:eastAsia="zh-CN"/>
        </w:rPr>
        <w:t xml:space="preserve"> </w:t>
      </w:r>
      <w:r>
        <w:rPr>
          <w:rFonts w:hint="default" w:ascii="Times New Roman" w:hAnsi="Times New Roman" w:cs="Times New Roman"/>
        </w:rPr>
        <w:t>partition function calculation was conducted; the entire</w:t>
      </w:r>
      <w:r>
        <w:rPr>
          <w:rFonts w:hint="eastAsia" w:ascii="Times New Roman" w:hAnsi="Times New Roman" w:cs="Times New Roman"/>
          <w:lang w:val="en-US" w:eastAsia="zh-CN"/>
        </w:rPr>
        <w:t xml:space="preserve"> </w:t>
      </w:r>
      <w:r>
        <w:rPr>
          <w:rFonts w:hint="default" w:ascii="Times New Roman" w:hAnsi="Times New Roman" w:cs="Times New Roman"/>
        </w:rPr>
        <w:t>mRNA was scanned; the prefilter was turned on. The time</w:t>
      </w:r>
      <w:r>
        <w:rPr>
          <w:rFonts w:hint="eastAsia" w:ascii="Times New Roman" w:hAnsi="Times New Roman" w:cs="Times New Roman"/>
          <w:lang w:val="en-US" w:eastAsia="zh-CN"/>
        </w:rPr>
        <w:t xml:space="preserve"> </w:t>
      </w:r>
      <w:r>
        <w:rPr>
          <w:rFonts w:hint="default" w:ascii="Times New Roman" w:hAnsi="Times New Roman" w:cs="Times New Roman"/>
        </w:rPr>
        <w:t>cost is similar for long sequence because the prefitler (7) is</w:t>
      </w:r>
      <w:r>
        <w:rPr>
          <w:rFonts w:hint="eastAsia" w:ascii="Times New Roman" w:hAnsi="Times New Roman" w:cs="Times New Roman"/>
          <w:lang w:val="en-US" w:eastAsia="zh-CN"/>
        </w:rPr>
        <w:t xml:space="preserve"> </w:t>
      </w:r>
      <w:r>
        <w:rPr>
          <w:rFonts w:hint="default" w:ascii="Times New Roman" w:hAnsi="Times New Roman" w:cs="Times New Roman"/>
        </w:rPr>
        <w:t>turned on and number of candidates being folded is</w:t>
      </w:r>
      <w:r>
        <w:rPr>
          <w:rFonts w:hint="eastAsia" w:ascii="Times New Roman" w:hAnsi="Times New Roman" w:cs="Times New Roman"/>
          <w:lang w:val="en-US" w:eastAsia="zh-CN"/>
        </w:rPr>
        <w:t xml:space="preserve"> </w:t>
      </w:r>
      <w:r>
        <w:rPr>
          <w:rFonts w:hint="default" w:ascii="Times New Roman" w:hAnsi="Times New Roman" w:cs="Times New Roman"/>
        </w:rPr>
        <w:t>limited.</w:t>
      </w:r>
    </w:p>
    <w:p w14:paraId="440A763F">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16A27B0D">
      <w:pPr>
        <w:jc w:val="both"/>
        <w:rPr>
          <w:rFonts w:hint="default" w:ascii="Times New Roman" w:hAnsi="Times New Roman" w:cs="Times New Roman"/>
        </w:rPr>
      </w:pPr>
      <w:r>
        <w:rPr>
          <w:rFonts w:hint="default" w:ascii="Times New Roman" w:hAnsi="Times New Roman" w:cs="Times New Roman"/>
          <w:i/>
          <w:iCs/>
        </w:rPr>
        <w:t>a</w:t>
      </w:r>
      <w:r>
        <w:rPr>
          <w:rFonts w:hint="default" w:ascii="Times New Roman" w:hAnsi="Times New Roman" w:cs="Times New Roman"/>
        </w:rPr>
        <w:t xml:space="preserve"> The calculations were submitted and benchmarked on</w:t>
      </w:r>
      <w:r>
        <w:rPr>
          <w:rFonts w:hint="eastAsia" w:ascii="Times New Roman" w:hAnsi="Times New Roman" w:cs="Times New Roman"/>
          <w:lang w:val="en-US" w:eastAsia="zh-CN"/>
        </w:rPr>
        <w:t xml:space="preserve"> </w:t>
      </w:r>
      <w:r>
        <w:rPr>
          <w:rFonts w:hint="default" w:ascii="Times New Roman" w:hAnsi="Times New Roman" w:cs="Times New Roman"/>
        </w:rPr>
        <w:t>the OligoWalk web server</w:t>
      </w:r>
      <w:r>
        <w:rPr>
          <w:rFonts w:hint="eastAsia" w:ascii="Times New Roman" w:hAnsi="Times New Roman" w:cs="Times New Roman"/>
          <w:lang w:val="en-US" w:eastAsia="zh-CN"/>
        </w:rPr>
        <w:t xml:space="preserve"> </w:t>
      </w:r>
      <w:r>
        <w:rPr>
          <w:rFonts w:hint="default" w:ascii="Times New Roman" w:hAnsi="Times New Roman" w:cs="Times New Roman"/>
        </w:rPr>
        <w:t>(http://rna.urmc.rochester.edu/servers/oligowalk). The</w:t>
      </w:r>
      <w:r>
        <w:rPr>
          <w:rFonts w:hint="eastAsia" w:ascii="Times New Roman" w:hAnsi="Times New Roman" w:cs="Times New Roman"/>
          <w:lang w:val="en-US" w:eastAsia="zh-CN"/>
        </w:rPr>
        <w:t xml:space="preserve"> </w:t>
      </w:r>
      <w:r>
        <w:rPr>
          <w:rFonts w:hint="default" w:ascii="Times New Roman" w:hAnsi="Times New Roman" w:cs="Times New Roman"/>
        </w:rPr>
        <w:t>cluster has up to seven executable nodes, managed by Sun</w:t>
      </w:r>
      <w:r>
        <w:rPr>
          <w:rFonts w:hint="eastAsia" w:ascii="Times New Roman" w:hAnsi="Times New Roman" w:cs="Times New Roman"/>
          <w:lang w:val="en-US" w:eastAsia="zh-CN"/>
        </w:rPr>
        <w:t xml:space="preserve"> </w:t>
      </w:r>
      <w:r>
        <w:rPr>
          <w:rFonts w:hint="default" w:ascii="Times New Roman" w:hAnsi="Times New Roman" w:cs="Times New Roman"/>
        </w:rPr>
        <w:t>Grid Engine. Each node has 3.2 or 3.4 GHz Pentium 4</w:t>
      </w:r>
      <w:r>
        <w:rPr>
          <w:rFonts w:hint="eastAsia" w:ascii="Times New Roman" w:hAnsi="Times New Roman" w:cs="Times New Roman"/>
          <w:lang w:val="en-US" w:eastAsia="zh-CN"/>
        </w:rPr>
        <w:t xml:space="preserve"> </w:t>
      </w:r>
      <w:r>
        <w:rPr>
          <w:rFonts w:hint="default" w:ascii="Times New Roman" w:hAnsi="Times New Roman" w:cs="Times New Roman"/>
        </w:rPr>
        <w:t>processors running Fedora Linux.</w:t>
      </w:r>
    </w:p>
    <w:p w14:paraId="03C4B091">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140A69AC">
      <w:pPr>
        <w:jc w:val="both"/>
        <w:rPr>
          <w:rFonts w:hint="default" w:ascii="Times New Roman" w:hAnsi="Times New Roman" w:cs="Times New Roman"/>
        </w:rPr>
      </w:pPr>
      <w:r>
        <w:rPr>
          <w:rFonts w:hint="default" w:ascii="Times New Roman" w:hAnsi="Times New Roman" w:cs="Times New Roman"/>
          <w:i/>
          <w:iCs/>
        </w:rPr>
        <w:t>b</w:t>
      </w:r>
      <w:r>
        <w:rPr>
          <w:rFonts w:hint="default" w:ascii="Times New Roman" w:hAnsi="Times New Roman" w:cs="Times New Roman"/>
        </w:rPr>
        <w:t xml:space="preserve"> The calculation time for sequence less than 800</w:t>
      </w:r>
      <w:r>
        <w:rPr>
          <w:rFonts w:hint="eastAsia" w:ascii="Times New Roman" w:hAnsi="Times New Roman" w:cs="Times New Roman"/>
          <w:lang w:val="en-US" w:eastAsia="zh-CN"/>
        </w:rPr>
        <w:t xml:space="preserve"> </w:t>
      </w:r>
      <w:r>
        <w:rPr>
          <w:rFonts w:hint="default" w:ascii="Times New Roman" w:hAnsi="Times New Roman" w:cs="Times New Roman"/>
        </w:rPr>
        <w:t>nucleotides scales much less because some arrays are</w:t>
      </w:r>
      <w:r>
        <w:rPr>
          <w:rFonts w:hint="eastAsia" w:ascii="Times New Roman" w:hAnsi="Times New Roman" w:cs="Times New Roman"/>
          <w:lang w:val="en-US" w:eastAsia="zh-CN"/>
        </w:rPr>
        <w:t xml:space="preserve"> </w:t>
      </w:r>
      <w:r>
        <w:rPr>
          <w:rFonts w:hint="default" w:ascii="Times New Roman" w:hAnsi="Times New Roman" w:cs="Times New Roman"/>
        </w:rPr>
        <w:t>reused for such kind of calculation (25).</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4"/>
        <w:gridCol w:w="2250"/>
        <w:gridCol w:w="1607"/>
        <w:gridCol w:w="1491"/>
      </w:tblGrid>
      <w:tr w14:paraId="3281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74" w:type="dxa"/>
            <w:tcBorders>
              <w:top w:val="single" w:color="000000" w:sz="12" w:space="0"/>
              <w:left w:val="nil"/>
              <w:bottom w:val="single" w:color="000000" w:sz="4" w:space="0"/>
              <w:right w:val="nil"/>
              <w:tl2br w:val="nil"/>
            </w:tcBorders>
            <w:shd w:val="clear" w:color="auto" w:fill="FFFFFF"/>
            <w:vAlign w:val="center"/>
          </w:tcPr>
          <w:p w14:paraId="7076727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cs="Times New Roman"/>
                <w:b w:val="0"/>
                <w:color w:val="000000"/>
                <w:sz w:val="18"/>
                <w:szCs w:val="18"/>
                <w:vertAlign w:val="baseline"/>
              </w:rPr>
            </w:pPr>
            <w:r>
              <w:rPr>
                <w:rFonts w:hint="default" w:ascii="Times New Roman" w:hAnsi="Times New Roman" w:eastAsia="Segoe UI" w:cs="Times New Roman"/>
                <w:b w:val="0"/>
                <w:bCs/>
                <w:i w:val="0"/>
                <w:iCs w:val="0"/>
                <w:caps w:val="0"/>
                <w:color w:val="000000"/>
                <w:spacing w:val="0"/>
                <w:kern w:val="0"/>
                <w:sz w:val="18"/>
                <w:szCs w:val="18"/>
                <w:lang w:val="en-US" w:eastAsia="zh-CN" w:bidi="ar"/>
              </w:rPr>
              <w:t>Binding Mode</w:t>
            </w:r>
          </w:p>
        </w:tc>
        <w:tc>
          <w:tcPr>
            <w:tcW w:w="2250" w:type="dxa"/>
            <w:tcBorders>
              <w:top w:val="single" w:color="000000" w:sz="12" w:space="0"/>
              <w:left w:val="nil"/>
              <w:bottom w:val="single" w:color="000000" w:sz="4" w:space="0"/>
              <w:right w:val="nil"/>
            </w:tcBorders>
            <w:shd w:val="clear" w:color="auto" w:fill="FFFFFF"/>
            <w:vAlign w:val="center"/>
          </w:tcPr>
          <w:p w14:paraId="5AA6E72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bCs/>
                <w:i w:val="0"/>
                <w:iCs w:val="0"/>
                <w:caps w:val="0"/>
                <w:color w:val="000000"/>
                <w:spacing w:val="0"/>
                <w:kern w:val="2"/>
                <w:sz w:val="18"/>
                <w:szCs w:val="18"/>
                <w:lang w:val="en-US" w:eastAsia="zh-CN" w:bidi="ar-SA"/>
              </w:rPr>
            </w:pPr>
            <w:r>
              <w:rPr>
                <w:rFonts w:hint="default" w:ascii="Times New Roman" w:hAnsi="Times New Roman" w:eastAsia="Segoe UI" w:cs="Times New Roman"/>
                <w:b w:val="0"/>
                <w:bCs/>
                <w:i w:val="0"/>
                <w:iCs w:val="0"/>
                <w:caps w:val="0"/>
                <w:color w:val="000000"/>
                <w:spacing w:val="0"/>
                <w:kern w:val="0"/>
                <w:sz w:val="18"/>
                <w:szCs w:val="18"/>
                <w:lang w:val="en-US" w:eastAsia="zh-CN" w:bidi="ar"/>
              </w:rPr>
              <w:t>Folding Option</w:t>
            </w:r>
          </w:p>
        </w:tc>
        <w:tc>
          <w:tcPr>
            <w:tcW w:w="1607" w:type="dxa"/>
            <w:tcBorders>
              <w:top w:val="single" w:color="000000" w:sz="12" w:space="0"/>
              <w:left w:val="nil"/>
              <w:bottom w:val="single" w:color="000000" w:sz="4" w:space="0"/>
              <w:right w:val="nil"/>
            </w:tcBorders>
            <w:shd w:val="clear" w:color="auto" w:fill="FFFFFF"/>
            <w:vAlign w:val="center"/>
          </w:tcPr>
          <w:p w14:paraId="4771A50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bCs/>
                <w:i w:val="0"/>
                <w:iCs w:val="0"/>
                <w:caps w:val="0"/>
                <w:color w:val="000000"/>
                <w:spacing w:val="0"/>
                <w:kern w:val="2"/>
                <w:sz w:val="18"/>
                <w:szCs w:val="18"/>
                <w:lang w:val="en-US" w:eastAsia="zh-CN" w:bidi="ar-SA"/>
              </w:rPr>
            </w:pPr>
            <w:r>
              <w:rPr>
                <w:rFonts w:hint="default" w:ascii="Times New Roman" w:hAnsi="Times New Roman" w:eastAsia="Segoe UI" w:cs="Times New Roman"/>
                <w:b w:val="0"/>
                <w:bCs/>
                <w:i w:val="0"/>
                <w:iCs w:val="0"/>
                <w:caps w:val="0"/>
                <w:color w:val="000000"/>
                <w:spacing w:val="0"/>
                <w:kern w:val="0"/>
                <w:sz w:val="18"/>
                <w:szCs w:val="18"/>
                <w:lang w:val="en-US" w:eastAsia="zh-CN" w:bidi="ar"/>
              </w:rPr>
              <w:t>Time (h:min:sec)</w:t>
            </w:r>
          </w:p>
        </w:tc>
        <w:tc>
          <w:tcPr>
            <w:tcW w:w="1491" w:type="dxa"/>
            <w:tcBorders>
              <w:top w:val="single" w:color="000000" w:sz="12" w:space="0"/>
              <w:left w:val="nil"/>
              <w:bottom w:val="single" w:color="000000" w:sz="4" w:space="0"/>
              <w:right w:val="nil"/>
            </w:tcBorders>
            <w:shd w:val="clear" w:color="auto" w:fill="FFFFFF"/>
            <w:vAlign w:val="center"/>
          </w:tcPr>
          <w:p w14:paraId="06D6EF1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bCs/>
                <w:i w:val="0"/>
                <w:iCs w:val="0"/>
                <w:caps w:val="0"/>
                <w:color w:val="000000"/>
                <w:spacing w:val="0"/>
                <w:kern w:val="2"/>
                <w:sz w:val="18"/>
                <w:szCs w:val="18"/>
                <w:lang w:val="en-US" w:eastAsia="zh-CN" w:bidi="ar-SA"/>
              </w:rPr>
            </w:pPr>
            <w:r>
              <w:rPr>
                <w:rFonts w:hint="default" w:ascii="Times New Roman" w:hAnsi="Times New Roman" w:eastAsia="Segoe UI" w:cs="Times New Roman"/>
                <w:b w:val="0"/>
                <w:bCs/>
                <w:i w:val="0"/>
                <w:iCs w:val="0"/>
                <w:caps w:val="0"/>
                <w:color w:val="000000"/>
                <w:spacing w:val="0"/>
                <w:kern w:val="0"/>
                <w:sz w:val="18"/>
                <w:szCs w:val="18"/>
                <w:lang w:val="en-US" w:eastAsia="zh-CN" w:bidi="ar"/>
              </w:rPr>
              <w:t>Memory (MB)</w:t>
            </w:r>
          </w:p>
        </w:tc>
      </w:tr>
      <w:tr w14:paraId="45C4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single" w:color="000000" w:sz="4" w:space="0"/>
              <w:left w:val="nil"/>
              <w:bottom w:val="nil"/>
              <w:right w:val="nil"/>
            </w:tcBorders>
            <w:shd w:val="clear" w:color="auto" w:fill="FFFFFF"/>
            <w:vAlign w:val="center"/>
          </w:tcPr>
          <w:p w14:paraId="3C4F1AC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Not Consider Target Structure</w:t>
            </w:r>
          </w:p>
        </w:tc>
        <w:tc>
          <w:tcPr>
            <w:tcW w:w="2250" w:type="dxa"/>
            <w:tcBorders>
              <w:top w:val="single" w:color="000000" w:sz="4" w:space="0"/>
              <w:left w:val="nil"/>
              <w:bottom w:val="nil"/>
              <w:right w:val="nil"/>
            </w:tcBorders>
            <w:shd w:val="clear" w:color="auto" w:fill="FFFFFF"/>
            <w:vAlign w:val="center"/>
          </w:tcPr>
          <w:p w14:paraId="361BBC3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NA</w:t>
            </w:r>
          </w:p>
        </w:tc>
        <w:tc>
          <w:tcPr>
            <w:tcW w:w="1607" w:type="dxa"/>
            <w:tcBorders>
              <w:top w:val="single" w:color="000000" w:sz="4" w:space="0"/>
              <w:left w:val="nil"/>
              <w:bottom w:val="nil"/>
              <w:right w:val="nil"/>
            </w:tcBorders>
            <w:shd w:val="clear" w:color="auto" w:fill="FFFFFF"/>
            <w:vAlign w:val="center"/>
          </w:tcPr>
          <w:p w14:paraId="61D8425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&lt;0:00:01 (0:00:04)</w:t>
            </w:r>
          </w:p>
        </w:tc>
        <w:tc>
          <w:tcPr>
            <w:tcW w:w="1491" w:type="dxa"/>
            <w:tcBorders>
              <w:top w:val="single" w:color="000000" w:sz="4" w:space="0"/>
              <w:left w:val="nil"/>
              <w:bottom w:val="nil"/>
              <w:right w:val="nil"/>
            </w:tcBorders>
            <w:shd w:val="clear" w:color="auto" w:fill="FFFFFF"/>
            <w:vAlign w:val="center"/>
          </w:tcPr>
          <w:p w14:paraId="32D876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&lt;1</w:t>
            </w:r>
          </w:p>
        </w:tc>
      </w:tr>
      <w:tr w14:paraId="20F7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nil"/>
              <w:right w:val="nil"/>
            </w:tcBorders>
            <w:shd w:val="clear" w:color="auto" w:fill="FFFFFF"/>
            <w:vAlign w:val="center"/>
          </w:tcPr>
          <w:p w14:paraId="0EA39AA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Break Local structure</w:t>
            </w:r>
          </w:p>
        </w:tc>
        <w:tc>
          <w:tcPr>
            <w:tcW w:w="2250" w:type="dxa"/>
            <w:tcBorders>
              <w:top w:val="nil"/>
              <w:left w:val="nil"/>
              <w:bottom w:val="nil"/>
              <w:right w:val="nil"/>
            </w:tcBorders>
            <w:shd w:val="clear" w:color="auto" w:fill="FFFFFF"/>
            <w:vAlign w:val="center"/>
          </w:tcPr>
          <w:p w14:paraId="3D17A5B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Optimal Structure</w:t>
            </w:r>
          </w:p>
        </w:tc>
        <w:tc>
          <w:tcPr>
            <w:tcW w:w="1607" w:type="dxa"/>
            <w:tcBorders>
              <w:top w:val="nil"/>
              <w:left w:val="nil"/>
              <w:bottom w:val="nil"/>
              <w:right w:val="nil"/>
            </w:tcBorders>
            <w:shd w:val="clear" w:color="auto" w:fill="FFFFFF"/>
            <w:vAlign w:val="center"/>
          </w:tcPr>
          <w:p w14:paraId="19834A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0:00:53 (0:00:54)</w:t>
            </w:r>
          </w:p>
        </w:tc>
        <w:tc>
          <w:tcPr>
            <w:tcW w:w="1491" w:type="dxa"/>
            <w:tcBorders>
              <w:top w:val="nil"/>
              <w:left w:val="nil"/>
              <w:bottom w:val="nil"/>
              <w:right w:val="nil"/>
            </w:tcBorders>
            <w:shd w:val="clear" w:color="auto" w:fill="FFFFFF"/>
            <w:vAlign w:val="center"/>
          </w:tcPr>
          <w:p w14:paraId="16E1621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15</w:t>
            </w:r>
          </w:p>
        </w:tc>
      </w:tr>
      <w:tr w14:paraId="0F22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nil"/>
              <w:right w:val="nil"/>
            </w:tcBorders>
            <w:shd w:val="clear" w:color="auto" w:fill="FFFFFF"/>
            <w:vAlign w:val="center"/>
          </w:tcPr>
          <w:p w14:paraId="1BCAE38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Break Local structure</w:t>
            </w:r>
          </w:p>
        </w:tc>
        <w:tc>
          <w:tcPr>
            <w:tcW w:w="2250" w:type="dxa"/>
            <w:tcBorders>
              <w:top w:val="nil"/>
              <w:left w:val="nil"/>
              <w:bottom w:val="nil"/>
              <w:right w:val="nil"/>
            </w:tcBorders>
            <w:shd w:val="clear" w:color="auto" w:fill="FFFFFF"/>
            <w:vAlign w:val="center"/>
          </w:tcPr>
          <w:p w14:paraId="224442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Suboptimal Structure</w:t>
            </w:r>
          </w:p>
        </w:tc>
        <w:tc>
          <w:tcPr>
            <w:tcW w:w="1607" w:type="dxa"/>
            <w:tcBorders>
              <w:top w:val="nil"/>
              <w:left w:val="nil"/>
              <w:bottom w:val="nil"/>
              <w:right w:val="nil"/>
            </w:tcBorders>
            <w:shd w:val="clear" w:color="auto" w:fill="FFFFFF"/>
            <w:vAlign w:val="center"/>
          </w:tcPr>
          <w:p w14:paraId="0E5A2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0:01:40 (0:05:11)</w:t>
            </w:r>
          </w:p>
        </w:tc>
        <w:tc>
          <w:tcPr>
            <w:tcW w:w="1491" w:type="dxa"/>
            <w:tcBorders>
              <w:top w:val="nil"/>
              <w:left w:val="nil"/>
              <w:bottom w:val="nil"/>
              <w:right w:val="nil"/>
            </w:tcBorders>
            <w:shd w:val="clear" w:color="auto" w:fill="FFFFFF"/>
            <w:vAlign w:val="center"/>
          </w:tcPr>
          <w:p w14:paraId="54CB8B6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15</w:t>
            </w:r>
          </w:p>
        </w:tc>
      </w:tr>
      <w:tr w14:paraId="38360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nil"/>
              <w:right w:val="nil"/>
            </w:tcBorders>
            <w:shd w:val="clear" w:color="auto" w:fill="FFFFFF"/>
            <w:vAlign w:val="center"/>
          </w:tcPr>
          <w:p w14:paraId="4D1F183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Refold target RNA</w:t>
            </w:r>
          </w:p>
        </w:tc>
        <w:tc>
          <w:tcPr>
            <w:tcW w:w="2250" w:type="dxa"/>
            <w:tcBorders>
              <w:top w:val="nil"/>
              <w:left w:val="nil"/>
              <w:bottom w:val="nil"/>
              <w:right w:val="nil"/>
            </w:tcBorders>
            <w:shd w:val="clear" w:color="auto" w:fill="FFFFFF"/>
            <w:vAlign w:val="center"/>
          </w:tcPr>
          <w:p w14:paraId="00A23A1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Optimal Structure</w:t>
            </w:r>
          </w:p>
        </w:tc>
        <w:tc>
          <w:tcPr>
            <w:tcW w:w="1607" w:type="dxa"/>
            <w:tcBorders>
              <w:top w:val="nil"/>
              <w:left w:val="nil"/>
              <w:bottom w:val="nil"/>
              <w:right w:val="nil"/>
            </w:tcBorders>
            <w:shd w:val="clear" w:color="auto" w:fill="FFFFFF"/>
            <w:vAlign w:val="center"/>
          </w:tcPr>
          <w:p w14:paraId="0D6300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0:40:09 (3:48:42)</w:t>
            </w:r>
          </w:p>
        </w:tc>
        <w:tc>
          <w:tcPr>
            <w:tcW w:w="1491" w:type="dxa"/>
            <w:tcBorders>
              <w:top w:val="nil"/>
              <w:left w:val="nil"/>
              <w:bottom w:val="nil"/>
              <w:right w:val="nil"/>
            </w:tcBorders>
            <w:shd w:val="clear" w:color="auto" w:fill="FFFFFF"/>
            <w:vAlign w:val="center"/>
          </w:tcPr>
          <w:p w14:paraId="6438299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15</w:t>
            </w:r>
          </w:p>
        </w:tc>
      </w:tr>
      <w:tr w14:paraId="2034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nil"/>
              <w:right w:val="nil"/>
            </w:tcBorders>
            <w:shd w:val="clear" w:color="auto" w:fill="FFFFFF"/>
            <w:vAlign w:val="center"/>
          </w:tcPr>
          <w:p w14:paraId="3C3E17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Refold target RNA</w:t>
            </w:r>
          </w:p>
        </w:tc>
        <w:tc>
          <w:tcPr>
            <w:tcW w:w="2250" w:type="dxa"/>
            <w:tcBorders>
              <w:top w:val="nil"/>
              <w:left w:val="nil"/>
              <w:bottom w:val="nil"/>
              <w:right w:val="nil"/>
            </w:tcBorders>
            <w:shd w:val="clear" w:color="auto" w:fill="FFFFFF"/>
            <w:vAlign w:val="center"/>
          </w:tcPr>
          <w:p w14:paraId="687CF63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Suboptimal Structure</w:t>
            </w:r>
          </w:p>
        </w:tc>
        <w:tc>
          <w:tcPr>
            <w:tcW w:w="1607" w:type="dxa"/>
            <w:tcBorders>
              <w:top w:val="nil"/>
              <w:left w:val="nil"/>
              <w:bottom w:val="nil"/>
              <w:right w:val="nil"/>
            </w:tcBorders>
            <w:shd w:val="clear" w:color="auto" w:fill="FFFFFF"/>
            <w:vAlign w:val="center"/>
          </w:tcPr>
          <w:p w14:paraId="3E3D7B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1:51:56 (10:02:55)</w:t>
            </w:r>
          </w:p>
        </w:tc>
        <w:tc>
          <w:tcPr>
            <w:tcW w:w="1491" w:type="dxa"/>
            <w:tcBorders>
              <w:top w:val="nil"/>
              <w:left w:val="nil"/>
              <w:bottom w:val="nil"/>
              <w:right w:val="nil"/>
            </w:tcBorders>
            <w:shd w:val="clear" w:color="auto" w:fill="FFFFFF"/>
            <w:vAlign w:val="center"/>
          </w:tcPr>
          <w:p w14:paraId="3800E31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15</w:t>
            </w:r>
          </w:p>
        </w:tc>
      </w:tr>
      <w:tr w14:paraId="44B73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4" w:type="dxa"/>
            <w:tcBorders>
              <w:top w:val="nil"/>
              <w:left w:val="nil"/>
              <w:bottom w:val="single" w:color="000000" w:sz="12" w:space="0"/>
              <w:right w:val="nil"/>
            </w:tcBorders>
            <w:shd w:val="clear" w:color="auto" w:fill="FFFFFF"/>
            <w:vAlign w:val="center"/>
          </w:tcPr>
          <w:p w14:paraId="65B308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Refold target RNA</w:t>
            </w:r>
          </w:p>
        </w:tc>
        <w:tc>
          <w:tcPr>
            <w:tcW w:w="2250" w:type="dxa"/>
            <w:tcBorders>
              <w:top w:val="nil"/>
              <w:left w:val="nil"/>
              <w:bottom w:val="single" w:color="000000" w:sz="12" w:space="0"/>
              <w:right w:val="nil"/>
            </w:tcBorders>
            <w:shd w:val="clear" w:color="auto" w:fill="FFFFFF"/>
            <w:vAlign w:val="center"/>
          </w:tcPr>
          <w:p w14:paraId="06A2B27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Partition Function</w:t>
            </w:r>
          </w:p>
        </w:tc>
        <w:tc>
          <w:tcPr>
            <w:tcW w:w="1607" w:type="dxa"/>
            <w:tcBorders>
              <w:top w:val="nil"/>
              <w:left w:val="nil"/>
              <w:bottom w:val="single" w:color="000000" w:sz="12" w:space="0"/>
              <w:right w:val="nil"/>
            </w:tcBorders>
            <w:shd w:val="clear" w:color="auto" w:fill="FFFFFF"/>
            <w:vAlign w:val="center"/>
          </w:tcPr>
          <w:p w14:paraId="73394A7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0:57:17 (3:43:26)</w:t>
            </w:r>
          </w:p>
        </w:tc>
        <w:tc>
          <w:tcPr>
            <w:tcW w:w="1491" w:type="dxa"/>
            <w:tcBorders>
              <w:top w:val="nil"/>
              <w:left w:val="nil"/>
              <w:bottom w:val="single" w:color="000000" w:sz="12" w:space="0"/>
              <w:right w:val="nil"/>
            </w:tcBorders>
            <w:shd w:val="clear" w:color="auto" w:fill="FFFFFF"/>
            <w:vAlign w:val="center"/>
          </w:tcPr>
          <w:p w14:paraId="7F0CF60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Segoe UI" w:cs="Times New Roman"/>
                <w:b w:val="0"/>
                <w:i w:val="0"/>
                <w:iCs w:val="0"/>
                <w:caps w:val="0"/>
                <w:color w:val="000000"/>
                <w:spacing w:val="0"/>
                <w:kern w:val="2"/>
                <w:sz w:val="18"/>
                <w:szCs w:val="18"/>
                <w:lang w:val="en-US" w:eastAsia="zh-CN" w:bidi="ar-SA"/>
              </w:rPr>
            </w:pPr>
            <w:r>
              <w:rPr>
                <w:rFonts w:hint="default" w:ascii="Times New Roman" w:hAnsi="Times New Roman" w:eastAsia="Segoe UI" w:cs="Times New Roman"/>
                <w:b w:val="0"/>
                <w:i w:val="0"/>
                <w:iCs w:val="0"/>
                <w:caps w:val="0"/>
                <w:color w:val="000000"/>
                <w:spacing w:val="0"/>
                <w:kern w:val="0"/>
                <w:sz w:val="18"/>
                <w:szCs w:val="18"/>
                <w:lang w:val="en-US" w:eastAsia="zh-CN" w:bidi="ar"/>
              </w:rPr>
              <w:t>93</w:t>
            </w:r>
          </w:p>
        </w:tc>
      </w:tr>
    </w:tbl>
    <w:p w14:paraId="76387A74">
      <w:pPr>
        <w:jc w:val="both"/>
        <w:rPr>
          <w:rFonts w:hint="default" w:ascii="Times New Roman" w:hAnsi="Times New Roman" w:cs="Times New Roman"/>
        </w:rPr>
      </w:pPr>
      <w:r>
        <w:rPr>
          <w:rFonts w:hint="default" w:ascii="Times New Roman" w:hAnsi="Times New Roman" w:cs="Times New Roman"/>
        </w:rPr>
        <w:t>The caculation is tested on mRNA NM_020548 which is 730</w:t>
      </w:r>
      <w:r>
        <w:rPr>
          <w:rFonts w:hint="eastAsia" w:ascii="Times New Roman" w:hAnsi="Times New Roman" w:cs="Times New Roman"/>
          <w:lang w:val="en-US" w:eastAsia="zh-CN"/>
        </w:rPr>
        <w:t xml:space="preserve"> </w:t>
      </w:r>
      <w:r>
        <w:rPr>
          <w:rFonts w:hint="default" w:ascii="Times New Roman" w:hAnsi="Times New Roman" w:cs="Times New Roman"/>
        </w:rPr>
        <w:t>nucleotides in length. The oligomer type is RNA. The</w:t>
      </w:r>
      <w:r>
        <w:rPr>
          <w:rFonts w:hint="eastAsia" w:ascii="Times New Roman" w:hAnsi="Times New Roman" w:cs="Times New Roman"/>
          <w:lang w:val="en-US" w:eastAsia="zh-CN"/>
        </w:rPr>
        <w:t xml:space="preserve"> </w:t>
      </w:r>
      <w:r>
        <w:rPr>
          <w:rFonts w:hint="default" w:ascii="Times New Roman" w:hAnsi="Times New Roman" w:cs="Times New Roman"/>
        </w:rPr>
        <w:t>oligomer length is 19 bases. The folding size is all, the full</w:t>
      </w:r>
      <w:r>
        <w:rPr>
          <w:rFonts w:hint="eastAsia" w:ascii="Times New Roman" w:hAnsi="Times New Roman" w:cs="Times New Roman"/>
          <w:lang w:val="en-US" w:eastAsia="zh-CN"/>
        </w:rPr>
        <w:t xml:space="preserve"> </w:t>
      </w:r>
      <w:r>
        <w:rPr>
          <w:rFonts w:hint="default" w:ascii="Times New Roman" w:hAnsi="Times New Roman" w:cs="Times New Roman"/>
        </w:rPr>
        <w:t>length of the mRNA. The scanned region size is from the</w:t>
      </w:r>
      <w:r>
        <w:rPr>
          <w:rFonts w:hint="eastAsia" w:ascii="Times New Roman" w:hAnsi="Times New Roman" w:cs="Times New Roman"/>
          <w:lang w:val="en-US" w:eastAsia="zh-CN"/>
        </w:rPr>
        <w:t xml:space="preserve"> </w:t>
      </w:r>
      <w:r>
        <w:rPr>
          <w:rFonts w:hint="default" w:ascii="Times New Roman" w:hAnsi="Times New Roman" w:cs="Times New Roman"/>
        </w:rPr>
        <w:t>first base to the end. There are 712 and 132 oligomer</w:t>
      </w:r>
    </w:p>
    <w:p w14:paraId="7208E3FD">
      <w:pPr>
        <w:jc w:val="both"/>
        <w:rPr>
          <w:rFonts w:hint="default" w:ascii="Times New Roman" w:hAnsi="Times New Roman" w:cs="Times New Roman"/>
        </w:rPr>
      </w:pPr>
      <w:r>
        <w:rPr>
          <w:rFonts w:hint="default" w:ascii="Times New Roman" w:hAnsi="Times New Roman" w:cs="Times New Roman"/>
        </w:rPr>
        <w:t>candidates generated without and with prefilter turned on,</w:t>
      </w:r>
      <w:r>
        <w:rPr>
          <w:rFonts w:hint="eastAsia" w:ascii="Times New Roman" w:hAnsi="Times New Roman" w:cs="Times New Roman"/>
          <w:lang w:val="en-US" w:eastAsia="zh-CN"/>
        </w:rPr>
        <w:t xml:space="preserve"> </w:t>
      </w:r>
      <w:r>
        <w:rPr>
          <w:rFonts w:hint="default" w:ascii="Times New Roman" w:hAnsi="Times New Roman" w:cs="Times New Roman"/>
        </w:rPr>
        <w:t>respectively. The calculation time without prefilter is</w:t>
      </w:r>
      <w:r>
        <w:rPr>
          <w:rFonts w:hint="eastAsia" w:ascii="Times New Roman" w:hAnsi="Times New Roman" w:cs="Times New Roman"/>
          <w:lang w:val="en-US" w:eastAsia="zh-CN"/>
        </w:rPr>
        <w:t xml:space="preserve"> </w:t>
      </w:r>
      <w:r>
        <w:rPr>
          <w:rFonts w:hint="default" w:ascii="Times New Roman" w:hAnsi="Times New Roman" w:cs="Times New Roman"/>
        </w:rPr>
        <w:t>shown in parenthesis.</w:t>
      </w:r>
    </w:p>
    <w:p w14:paraId="75F92EAC">
      <w:pPr>
        <w:jc w:val="both"/>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A6438A1">
      <w:pPr>
        <w:jc w:val="both"/>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74C21CA2">
      <w:pPr>
        <w:jc w:val="both"/>
        <w:rPr>
          <w:rFonts w:hint="default" w:ascii="Times New Roman" w:hAnsi="Times New Roman" w:cs="Times New Roman"/>
          <w:lang w:val="en-US" w:eastAsia="zh-CN"/>
        </w:rPr>
      </w:pPr>
      <w:r>
        <w:rPr>
          <w:rFonts w:hint="eastAsia" w:ascii="Times New Roman" w:hAnsi="Times New Roman" w:cs="Times New Roman"/>
          <w:lang w:val="en-US" w:eastAsia="zh-CN"/>
        </w:rPr>
        <w:t>$</w:t>
      </w:r>
    </w:p>
    <w:p w14:paraId="66F98E5C">
      <w:pPr>
        <w:jc w:val="both"/>
        <w:rPr>
          <w:rFonts w:hint="default" w:ascii="Times New Roman" w:hAnsi="Times New Roman" w:cs="Times New Roman"/>
          <w:b/>
          <w:bCs/>
          <w:sz w:val="24"/>
          <w:szCs w:val="32"/>
        </w:rPr>
      </w:pPr>
      <w:r>
        <w:rPr>
          <w:rFonts w:hint="default" w:ascii="Times New Roman" w:hAnsi="Times New Roman" w:cs="Times New Roman"/>
          <w:b/>
          <w:bCs/>
          <w:sz w:val="24"/>
          <w:szCs w:val="32"/>
        </w:rPr>
        <w:t>V. References</w:t>
      </w:r>
    </w:p>
    <w:p w14:paraId="28F800BD">
      <w:pPr>
        <w:jc w:val="both"/>
        <w:rPr>
          <w:rFonts w:hint="default" w:ascii="Times New Roman" w:hAnsi="Times New Roman" w:cs="Times New Roman"/>
          <w:b/>
          <w:bCs/>
        </w:rPr>
      </w:pPr>
      <w:r>
        <w:rPr>
          <w:rFonts w:hint="default" w:ascii="Times New Roman" w:hAnsi="Times New Roman" w:cs="Times New Roman"/>
          <w:b/>
          <w:bCs/>
        </w:rPr>
        <w:t>The OligoWalk algorithm is based on the following research:</w:t>
      </w:r>
    </w:p>
    <w:p w14:paraId="3048EAD0">
      <w:pPr>
        <w:jc w:val="both"/>
        <w:rPr>
          <w:rFonts w:hint="default" w:ascii="Times New Roman" w:hAnsi="Times New Roman" w:cs="Times New Roman"/>
        </w:rPr>
      </w:pPr>
      <w:r>
        <w:rPr>
          <w:rFonts w:hint="default" w:ascii="Times New Roman" w:hAnsi="Times New Roman" w:cs="Times New Roman"/>
        </w:rPr>
        <w:t>The efficient siRNA selection method is described in:</w:t>
      </w:r>
      <w:r>
        <w:rPr>
          <w:rFonts w:hint="eastAsia" w:ascii="Times New Roman" w:hAnsi="Times New Roman" w:cs="Times New Roman"/>
          <w:lang w:val="en-US" w:eastAsia="zh-CN"/>
        </w:rPr>
        <w:t xml:space="preserve"> </w:t>
      </w:r>
      <w:r>
        <w:rPr>
          <w:rFonts w:hint="default" w:ascii="Times New Roman" w:hAnsi="Times New Roman" w:cs="Times New Roman"/>
        </w:rPr>
        <w:t>Z.J. Lu and D.H. Mathews. (2008) "Efficient siRNA selection using hybridization</w:t>
      </w:r>
      <w:r>
        <w:rPr>
          <w:rFonts w:hint="eastAsia" w:ascii="Times New Roman" w:hAnsi="Times New Roman" w:cs="Times New Roman"/>
          <w:lang w:val="en-US" w:eastAsia="zh-CN"/>
        </w:rPr>
        <w:t xml:space="preserve"> </w:t>
      </w:r>
      <w:r>
        <w:rPr>
          <w:rFonts w:hint="default" w:ascii="Times New Roman" w:hAnsi="Times New Roman" w:cs="Times New Roman"/>
        </w:rPr>
        <w:t>thermodynamics"</w:t>
      </w:r>
      <w:r>
        <w:rPr>
          <w:rFonts w:hint="eastAsia" w:ascii="Times New Roman" w:hAnsi="Times New Roman" w:cs="Times New Roman"/>
          <w:lang w:val="en-US" w:eastAsia="zh-CN"/>
        </w:rPr>
        <w:t xml:space="preserve"> </w:t>
      </w:r>
      <w:r>
        <w:rPr>
          <w:rFonts w:hint="default" w:ascii="Times New Roman" w:hAnsi="Times New Roman" w:cs="Times New Roman"/>
        </w:rPr>
        <w:t>Nucleic Acids Research, 36:640-647.</w:t>
      </w:r>
    </w:p>
    <w:p w14:paraId="51DDBCFD">
      <w:pPr>
        <w:jc w:val="both"/>
        <w:rPr>
          <w:rFonts w:hint="default" w:ascii="Times New Roman" w:hAnsi="Times New Roman" w:cs="Times New Roman"/>
        </w:rPr>
      </w:pPr>
      <w:r>
        <w:rPr>
          <w:rFonts w:hint="default" w:ascii="Times New Roman" w:hAnsi="Times New Roman" w:cs="Times New Roman"/>
        </w:rPr>
        <w:t>The siRNA prefilter method is described in:</w:t>
      </w:r>
      <w:r>
        <w:rPr>
          <w:rFonts w:hint="eastAsia" w:ascii="Times New Roman" w:hAnsi="Times New Roman" w:cs="Times New Roman"/>
          <w:lang w:val="en-US" w:eastAsia="zh-CN"/>
        </w:rPr>
        <w:t xml:space="preserve"> </w:t>
      </w:r>
      <w:r>
        <w:rPr>
          <w:rFonts w:hint="default" w:ascii="Times New Roman" w:hAnsi="Times New Roman" w:cs="Times New Roman"/>
        </w:rPr>
        <w:t>Reynolds, A., Leake, D., Boese, Q., Scaringe, S., Marshall, W.S. and Khvorova, A. (2004) Rational</w:t>
      </w:r>
      <w:r>
        <w:rPr>
          <w:rFonts w:hint="eastAsia" w:ascii="Times New Roman" w:hAnsi="Times New Roman" w:cs="Times New Roman"/>
          <w:lang w:val="en-US" w:eastAsia="zh-CN"/>
        </w:rPr>
        <w:t xml:space="preserve"> </w:t>
      </w:r>
      <w:r>
        <w:rPr>
          <w:rFonts w:hint="default" w:ascii="Times New Roman" w:hAnsi="Times New Roman" w:cs="Times New Roman"/>
        </w:rPr>
        <w:t>siRNA design for RNA interference. Nat Biotechnol., 22, 326-330.</w:t>
      </w:r>
    </w:p>
    <w:p w14:paraId="74FC3169">
      <w:pPr>
        <w:jc w:val="both"/>
        <w:rPr>
          <w:rFonts w:hint="eastAsia" w:ascii="Times New Roman" w:hAnsi="Times New Roman" w:cs="Times New Roman"/>
          <w:lang w:val="en-US" w:eastAsia="zh-CN"/>
        </w:rPr>
      </w:pPr>
      <w:r>
        <w:rPr>
          <w:rFonts w:hint="default" w:ascii="Times New Roman" w:hAnsi="Times New Roman" w:cs="Times New Roman"/>
        </w:rPr>
        <w:t>The thermodynamic parameters and algorithm of RNA secondary structure prediction are</w:t>
      </w:r>
      <w:r>
        <w:rPr>
          <w:rFonts w:hint="eastAsia" w:ascii="Times New Roman" w:hAnsi="Times New Roman" w:cs="Times New Roman"/>
          <w:lang w:val="en-US" w:eastAsia="zh-CN"/>
        </w:rPr>
        <w:t xml:space="preserve"> </w:t>
      </w:r>
      <w:r>
        <w:rPr>
          <w:rFonts w:hint="default" w:ascii="Times New Roman" w:hAnsi="Times New Roman" w:cs="Times New Roman"/>
        </w:rPr>
        <w:t>described in:</w:t>
      </w:r>
      <w:r>
        <w:rPr>
          <w:rFonts w:hint="eastAsia" w:ascii="Times New Roman" w:hAnsi="Times New Roman" w:cs="Times New Roman"/>
          <w:lang w:val="en-US" w:eastAsia="zh-CN"/>
        </w:rPr>
        <w:t xml:space="preserve"> </w:t>
      </w:r>
    </w:p>
    <w:p w14:paraId="1BEF45AB">
      <w:pPr>
        <w:jc w:val="both"/>
        <w:rPr>
          <w:rFonts w:hint="eastAsia" w:ascii="Times New Roman" w:hAnsi="Times New Roman" w:cs="Times New Roman"/>
          <w:lang w:val="en-US" w:eastAsia="zh-CN"/>
        </w:rPr>
      </w:pPr>
      <w:r>
        <w:rPr>
          <w:rFonts w:hint="default" w:ascii="Times New Roman" w:hAnsi="Times New Roman" w:cs="Times New Roman"/>
        </w:rPr>
        <w:t>Lu, Z.J., Turner, D.H. and Mathews, D.H. (2006) A set of nearest neighbor parameters for</w:t>
      </w:r>
      <w:r>
        <w:rPr>
          <w:rFonts w:hint="eastAsia" w:ascii="Times New Roman" w:hAnsi="Times New Roman" w:cs="Times New Roman"/>
          <w:lang w:val="en-US" w:eastAsia="zh-CN"/>
        </w:rPr>
        <w:t xml:space="preserve"> </w:t>
      </w:r>
      <w:r>
        <w:rPr>
          <w:rFonts w:hint="default" w:ascii="Times New Roman" w:hAnsi="Times New Roman" w:cs="Times New Roman"/>
        </w:rPr>
        <w:t>predicting the enthalpy change of RNA secondary structure formation. Nucleic Acids Res., 34,</w:t>
      </w:r>
      <w:r>
        <w:rPr>
          <w:rFonts w:hint="eastAsia" w:ascii="Times New Roman" w:hAnsi="Times New Roman" w:cs="Times New Roman"/>
          <w:lang w:val="en-US" w:eastAsia="zh-CN"/>
        </w:rPr>
        <w:t xml:space="preserve"> </w:t>
      </w:r>
      <w:r>
        <w:rPr>
          <w:rFonts w:hint="default" w:ascii="Times New Roman" w:hAnsi="Times New Roman" w:cs="Times New Roman"/>
        </w:rPr>
        <w:t>4912-4924.</w:t>
      </w:r>
      <w:r>
        <w:rPr>
          <w:rFonts w:hint="eastAsia" w:ascii="Times New Roman" w:hAnsi="Times New Roman" w:cs="Times New Roman"/>
          <w:lang w:val="en-US" w:eastAsia="zh-CN"/>
        </w:rPr>
        <w:t xml:space="preserve"> </w:t>
      </w:r>
    </w:p>
    <w:p w14:paraId="45CE06D3">
      <w:pPr>
        <w:jc w:val="both"/>
        <w:rPr>
          <w:rFonts w:hint="default" w:ascii="Times New Roman" w:hAnsi="Times New Roman" w:cs="Times New Roman"/>
        </w:rPr>
      </w:pPr>
      <w:r>
        <w:rPr>
          <w:rFonts w:hint="default" w:ascii="Times New Roman" w:hAnsi="Times New Roman" w:cs="Times New Roman"/>
        </w:rPr>
        <w:t>D.H. Mathews, M.D. Disney, J.L. Childs, S.J. Schroeder, M. Zuker, and D.H. Turner.</w:t>
      </w:r>
      <w:r>
        <w:rPr>
          <w:rFonts w:hint="eastAsia" w:ascii="Times New Roman" w:hAnsi="Times New Roman" w:cs="Times New Roman"/>
          <w:lang w:val="en-US" w:eastAsia="zh-CN"/>
        </w:rPr>
        <w:t xml:space="preserve"> </w:t>
      </w:r>
      <w:r>
        <w:rPr>
          <w:rFonts w:hint="default" w:ascii="Times New Roman" w:hAnsi="Times New Roman" w:cs="Times New Roman"/>
        </w:rPr>
        <w:t>"Incorporating Chemical Modification Constraints into a Dynamic Programming Algorithm for</w:t>
      </w:r>
    </w:p>
    <w:p w14:paraId="73A72307">
      <w:pPr>
        <w:jc w:val="both"/>
        <w:rPr>
          <w:rFonts w:hint="default" w:ascii="Times New Roman" w:hAnsi="Times New Roman" w:cs="Times New Roman"/>
        </w:rPr>
      </w:pPr>
      <w:r>
        <w:rPr>
          <w:rFonts w:hint="default" w:ascii="Times New Roman" w:hAnsi="Times New Roman" w:cs="Times New Roman"/>
        </w:rPr>
        <w:t>Prediction of RNA Secondary Structure"</w:t>
      </w:r>
      <w:r>
        <w:rPr>
          <w:rFonts w:hint="eastAsia" w:ascii="Times New Roman" w:hAnsi="Times New Roman" w:cs="Times New Roman"/>
          <w:lang w:val="en-US" w:eastAsia="zh-CN"/>
        </w:rPr>
        <w:t xml:space="preserve"> </w:t>
      </w:r>
      <w:r>
        <w:rPr>
          <w:rFonts w:hint="default" w:ascii="Times New Roman" w:hAnsi="Times New Roman" w:cs="Times New Roman"/>
        </w:rPr>
        <w:t>Proceedings of the National Academy of Sciences USA, 101, 7287-7292, (2004).</w:t>
      </w:r>
    </w:p>
    <w:p w14:paraId="0BE4CCD3">
      <w:pPr>
        <w:jc w:val="both"/>
        <w:rPr>
          <w:rFonts w:hint="default" w:ascii="Times New Roman" w:hAnsi="Times New Roman" w:cs="Times New Roman"/>
        </w:rPr>
      </w:pPr>
      <w:r>
        <w:rPr>
          <w:rFonts w:hint="default" w:ascii="Times New Roman" w:hAnsi="Times New Roman" w:cs="Times New Roman"/>
        </w:rPr>
        <w:t>D.H. Mathews, J. Sabina, M. Zuker, and D. H. Turner "Expanded Sequence Dependence of</w:t>
      </w:r>
      <w:r>
        <w:rPr>
          <w:rFonts w:hint="eastAsia" w:ascii="Times New Roman" w:hAnsi="Times New Roman" w:cs="Times New Roman"/>
          <w:lang w:val="en-US" w:eastAsia="zh-CN"/>
        </w:rPr>
        <w:t xml:space="preserve"> </w:t>
      </w:r>
      <w:r>
        <w:rPr>
          <w:rFonts w:hint="default" w:ascii="Times New Roman" w:hAnsi="Times New Roman" w:cs="Times New Roman"/>
        </w:rPr>
        <w:t>Thermodynamic Parameters: Improves Prediction of RNA Secondary Structure" Journal of</w:t>
      </w:r>
      <w:r>
        <w:rPr>
          <w:rFonts w:hint="eastAsia" w:ascii="Times New Roman" w:hAnsi="Times New Roman" w:cs="Times New Roman"/>
          <w:lang w:val="en-US" w:eastAsia="zh-CN"/>
        </w:rPr>
        <w:t xml:space="preserve"> </w:t>
      </w:r>
      <w:r>
        <w:rPr>
          <w:rFonts w:hint="default" w:ascii="Times New Roman" w:hAnsi="Times New Roman" w:cs="Times New Roman"/>
        </w:rPr>
        <w:t>Molecular Biology, 288, 911-940, (1999).</w:t>
      </w:r>
    </w:p>
    <w:p w14:paraId="28CF66B5">
      <w:pPr>
        <w:jc w:val="both"/>
        <w:rPr>
          <w:rFonts w:hint="default" w:ascii="Times New Roman" w:hAnsi="Times New Roman" w:cs="Times New Roman"/>
        </w:rPr>
      </w:pPr>
      <w:r>
        <w:rPr>
          <w:rFonts w:hint="default" w:ascii="Times New Roman" w:hAnsi="Times New Roman" w:cs="Times New Roman"/>
        </w:rPr>
        <w:t>The thermodynamic parameters of DNA/RNA duplex:</w:t>
      </w:r>
      <w:r>
        <w:rPr>
          <w:rFonts w:hint="eastAsia" w:ascii="Times New Roman" w:hAnsi="Times New Roman" w:cs="Times New Roman"/>
          <w:lang w:val="en-US" w:eastAsia="zh-CN"/>
        </w:rPr>
        <w:t xml:space="preserve"> </w:t>
      </w:r>
      <w:r>
        <w:rPr>
          <w:rFonts w:hint="default" w:ascii="Times New Roman" w:hAnsi="Times New Roman" w:cs="Times New Roman"/>
        </w:rPr>
        <w:t>N. Sugimoto, S. Nakano, A. Katoh, H. Nakamura, T. Ohmichi, M. Yoneyama, and M. Sasaki</w:t>
      </w:r>
      <w:r>
        <w:rPr>
          <w:rFonts w:hint="eastAsia" w:ascii="Times New Roman" w:hAnsi="Times New Roman" w:cs="Times New Roman"/>
          <w:lang w:val="en-US" w:eastAsia="zh-CN"/>
        </w:rPr>
        <w:t xml:space="preserve"> </w:t>
      </w:r>
      <w:r>
        <w:rPr>
          <w:rFonts w:hint="default" w:ascii="Times New Roman" w:hAnsi="Times New Roman" w:cs="Times New Roman"/>
        </w:rPr>
        <w:t>"Thermodynamic Parameters to Predict the Stability of RNA/DNA Hybrid Duplexes"</w:t>
      </w:r>
      <w:r>
        <w:rPr>
          <w:rFonts w:hint="eastAsia" w:ascii="Times New Roman" w:hAnsi="Times New Roman" w:cs="Times New Roman"/>
          <w:lang w:val="en-US" w:eastAsia="zh-CN"/>
        </w:rPr>
        <w:t xml:space="preserve"> </w:t>
      </w:r>
      <w:r>
        <w:rPr>
          <w:rFonts w:hint="default" w:ascii="Times New Roman" w:hAnsi="Times New Roman" w:cs="Times New Roman"/>
        </w:rPr>
        <w:t>Biochemistry, 34, 11211-11216, (1995).</w:t>
      </w:r>
    </w:p>
    <w:p w14:paraId="7B15C837">
      <w:pPr>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bookmarkStart w:id="0" w:name="_GoBack"/>
      <w:bookmarkEnd w:id="0"/>
    </w:p>
    <w:p w14:paraId="54F5F751">
      <w:pPr>
        <w:jc w:val="both"/>
        <w:rPr>
          <w:rFonts w:hint="eastAsia" w:ascii="Times New Roman" w:hAnsi="Times New Roman" w:cs="Times New Roman"/>
          <w:lang w:val="en-US" w:eastAsia="zh-CN"/>
        </w:rPr>
      </w:pPr>
      <w:r>
        <w:rPr>
          <w:rFonts w:hint="default" w:ascii="Times New Roman" w:hAnsi="Times New Roman" w:cs="Times New Roman"/>
        </w:rPr>
        <w:t>Other research related to OligoWalk:</w:t>
      </w:r>
      <w:r>
        <w:rPr>
          <w:rFonts w:hint="eastAsia" w:ascii="Times New Roman" w:hAnsi="Times New Roman" w:cs="Times New Roman"/>
          <w:lang w:val="en-US" w:eastAsia="zh-CN"/>
        </w:rPr>
        <w:t xml:space="preserve"> </w:t>
      </w:r>
    </w:p>
    <w:p w14:paraId="2C0A6D2A">
      <w:pPr>
        <w:jc w:val="both"/>
        <w:rPr>
          <w:rFonts w:hint="eastAsia" w:ascii="Times New Roman" w:hAnsi="Times New Roman" w:cs="Times New Roman"/>
          <w:lang w:val="en-US" w:eastAsia="zh-CN"/>
        </w:rPr>
      </w:pPr>
      <w:r>
        <w:rPr>
          <w:rFonts w:hint="default" w:ascii="Times New Roman" w:hAnsi="Times New Roman" w:cs="Times New Roman"/>
        </w:rPr>
        <w:t>Ladunga I. "More complete gene silencing by fewer siRNAs: transparent optimized design and</w:t>
      </w:r>
      <w:r>
        <w:rPr>
          <w:rFonts w:hint="eastAsia" w:ascii="Times New Roman" w:hAnsi="Times New Roman" w:cs="Times New Roman"/>
          <w:lang w:val="en-US" w:eastAsia="zh-CN"/>
        </w:rPr>
        <w:t xml:space="preserve"> </w:t>
      </w:r>
      <w:r>
        <w:rPr>
          <w:rFonts w:hint="default" w:ascii="Times New Roman" w:hAnsi="Times New Roman" w:cs="Times New Roman"/>
        </w:rPr>
        <w:t>biophysical signature" Nucleic Acids Res 35:433-440, (2007)</w:t>
      </w:r>
      <w:r>
        <w:rPr>
          <w:rFonts w:hint="eastAsia" w:ascii="Times New Roman" w:hAnsi="Times New Roman" w:cs="Times New Roman"/>
          <w:lang w:val="en-US" w:eastAsia="zh-CN"/>
        </w:rPr>
        <w:t xml:space="preserve"> </w:t>
      </w:r>
    </w:p>
    <w:p w14:paraId="48D27945">
      <w:pPr>
        <w:jc w:val="both"/>
        <w:rPr>
          <w:rFonts w:hint="default" w:ascii="Times New Roman" w:hAnsi="Times New Roman" w:cs="Times New Roman"/>
        </w:rPr>
      </w:pPr>
      <w:r>
        <w:rPr>
          <w:rFonts w:hint="default" w:ascii="Times New Roman" w:hAnsi="Times New Roman" w:cs="Times New Roman"/>
        </w:rPr>
        <w:t>O.V. Matveeva, D.H. Mathews, A.D. Tsodikov, S.A. Shabalina, R.F. Gesteland, J.F. Atkins, S.M.</w:t>
      </w:r>
      <w:r>
        <w:rPr>
          <w:rFonts w:hint="eastAsia" w:ascii="Times New Roman" w:hAnsi="Times New Roman" w:cs="Times New Roman"/>
          <w:lang w:val="en-US" w:eastAsia="zh-CN"/>
        </w:rPr>
        <w:t xml:space="preserve"> </w:t>
      </w:r>
      <w:r>
        <w:rPr>
          <w:rFonts w:hint="default" w:ascii="Times New Roman" w:hAnsi="Times New Roman" w:cs="Times New Roman"/>
        </w:rPr>
        <w:t>Freier</w:t>
      </w:r>
      <w:r>
        <w:rPr>
          <w:rFonts w:hint="eastAsia" w:ascii="Times New Roman" w:hAnsi="Times New Roman" w:cs="Times New Roman"/>
          <w:lang w:val="en-US" w:eastAsia="zh-CN"/>
        </w:rPr>
        <w:t xml:space="preserve"> </w:t>
      </w:r>
      <w:r>
        <w:rPr>
          <w:rFonts w:hint="default" w:ascii="Times New Roman" w:hAnsi="Times New Roman" w:cs="Times New Roman"/>
        </w:rPr>
        <w:t>"Thermodynamic criteria for high hit rate antisense oligonucleotide design"</w:t>
      </w:r>
      <w:r>
        <w:rPr>
          <w:rFonts w:hint="eastAsia" w:ascii="Times New Roman" w:hAnsi="Times New Roman" w:cs="Times New Roman"/>
          <w:lang w:val="en-US" w:eastAsia="zh-CN"/>
        </w:rPr>
        <w:t xml:space="preserve"> </w:t>
      </w:r>
      <w:r>
        <w:rPr>
          <w:rFonts w:hint="default" w:ascii="Times New Roman" w:hAnsi="Times New Roman" w:cs="Times New Roman"/>
        </w:rPr>
        <w:t>Nucleic Acids Res., 31, 4989-4994, (2003).</w:t>
      </w:r>
    </w:p>
    <w:p w14:paraId="65143C28">
      <w:pPr>
        <w:jc w:val="both"/>
        <w:rPr>
          <w:rFonts w:hint="default" w:ascii="Times New Roman" w:hAnsi="Times New Roman" w:cs="Times New Roman"/>
        </w:rPr>
      </w:pPr>
      <w:r>
        <w:rPr>
          <w:rFonts w:hint="default" w:ascii="Times New Roman" w:hAnsi="Times New Roman" w:cs="Times New Roman"/>
        </w:rPr>
        <w:t>D.H. Mathews, M.E. Burkard, S.M. Freier, J.R. Wyatt, and D.H. Turner</w:t>
      </w:r>
      <w:r>
        <w:rPr>
          <w:rFonts w:hint="eastAsia" w:ascii="Times New Roman" w:hAnsi="Times New Roman" w:cs="Times New Roman"/>
          <w:lang w:val="en-US" w:eastAsia="zh-CN"/>
        </w:rPr>
        <w:t xml:space="preserve"> </w:t>
      </w:r>
      <w:r>
        <w:rPr>
          <w:rFonts w:hint="default" w:ascii="Times New Roman" w:hAnsi="Times New Roman" w:cs="Times New Roman"/>
        </w:rPr>
        <w:t>"Predicting Oligonucleotide Affinity to Nucleic Acid Targets"</w:t>
      </w:r>
      <w:r>
        <w:rPr>
          <w:rFonts w:hint="eastAsia" w:ascii="Times New Roman" w:hAnsi="Times New Roman" w:cs="Times New Roman"/>
          <w:lang w:val="en-US" w:eastAsia="zh-CN"/>
        </w:rPr>
        <w:t xml:space="preserve"> </w:t>
      </w:r>
      <w:r>
        <w:rPr>
          <w:rFonts w:hint="default" w:ascii="Times New Roman" w:hAnsi="Times New Roman" w:cs="Times New Roman"/>
        </w:rPr>
        <w:t>RNA, 5, 1458-1469 (1999).</w:t>
      </w:r>
    </w:p>
    <w:p w14:paraId="7FE38151">
      <w:pPr>
        <w:jc w:val="both"/>
        <w:rPr>
          <w:rFonts w:hint="default" w:ascii="Times New Roman" w:hAnsi="Times New Roman" w:cs="Times New Roman"/>
        </w:rPr>
      </w:pPr>
      <w:r>
        <w:rPr>
          <w:rFonts w:hint="default" w:ascii="Times New Roman" w:hAnsi="Times New Roman" w:cs="Times New Roman"/>
        </w:rPr>
        <w:t>OligoWalk was trained and tested on two experimental databases:</w:t>
      </w:r>
    </w:p>
    <w:p w14:paraId="5227F680">
      <w:pPr>
        <w:jc w:val="both"/>
        <w:rPr>
          <w:rFonts w:hint="default" w:ascii="Times New Roman" w:hAnsi="Times New Roman" w:cs="Times New Roman"/>
        </w:rPr>
      </w:pPr>
      <w:r>
        <w:rPr>
          <w:rFonts w:hint="default" w:ascii="Times New Roman" w:hAnsi="Times New Roman" w:cs="Times New Roman"/>
        </w:rPr>
        <w:t>Huesken D, Lange J, Mickanin C, Weiler J, Asselbergs F, Warner J, Meloon B, Engel S, Rosenberg</w:t>
      </w:r>
      <w:r>
        <w:rPr>
          <w:rFonts w:hint="eastAsia" w:ascii="Times New Roman" w:hAnsi="Times New Roman" w:cs="Times New Roman"/>
          <w:lang w:val="en-US" w:eastAsia="zh-CN"/>
        </w:rPr>
        <w:t xml:space="preserve"> </w:t>
      </w:r>
      <w:r>
        <w:rPr>
          <w:rFonts w:hint="default" w:ascii="Times New Roman" w:hAnsi="Times New Roman" w:cs="Times New Roman"/>
        </w:rPr>
        <w:t>A, Cohen D, Labow M, Reinhardt M, Natt F, Hall J. (2005). Design of a genome-wide siRNA library</w:t>
      </w:r>
      <w:r>
        <w:rPr>
          <w:rFonts w:hint="eastAsia" w:ascii="Times New Roman" w:hAnsi="Times New Roman" w:cs="Times New Roman"/>
          <w:lang w:val="en-US" w:eastAsia="zh-CN"/>
        </w:rPr>
        <w:t xml:space="preserve"> </w:t>
      </w:r>
      <w:r>
        <w:rPr>
          <w:rFonts w:hint="default" w:ascii="Times New Roman" w:hAnsi="Times New Roman" w:cs="Times New Roman"/>
        </w:rPr>
        <w:t>using an artificial neural network. Nat Biotechnol 23:995-1001.</w:t>
      </w:r>
    </w:p>
    <w:p w14:paraId="5B31F78A">
      <w:pPr>
        <w:jc w:val="both"/>
        <w:rPr>
          <w:rFonts w:hint="default" w:ascii="Times New Roman" w:hAnsi="Times New Roman" w:cs="Times New Roman"/>
        </w:rPr>
      </w:pPr>
      <w:r>
        <w:rPr>
          <w:rFonts w:hint="default" w:ascii="Times New Roman" w:hAnsi="Times New Roman" w:cs="Times New Roman"/>
        </w:rPr>
        <w:t>Shabalina SA, Spiridonov AN, Ogurtsov AY. (2006). Computational models with thermodynamic</w:t>
      </w:r>
    </w:p>
    <w:p w14:paraId="1425049A">
      <w:pPr>
        <w:jc w:val="both"/>
        <w:rPr>
          <w:rFonts w:hint="default" w:ascii="Times New Roman" w:hAnsi="Times New Roman" w:cs="Times New Roman"/>
        </w:rPr>
      </w:pPr>
      <w:r>
        <w:rPr>
          <w:rFonts w:hint="default" w:ascii="Times New Roman" w:hAnsi="Times New Roman" w:cs="Times New Roman"/>
        </w:rPr>
        <w:t>and composition features improve siRNA design. BMC Bioinformatics 7:65.</w:t>
      </w:r>
    </w:p>
    <w:p w14:paraId="23011F3A">
      <w:pPr>
        <w:jc w:val="both"/>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FB67253">
      <w:pPr>
        <w:jc w:val="both"/>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62E2C"/>
    <w:rsid w:val="0759609B"/>
    <w:rsid w:val="0E883192"/>
    <w:rsid w:val="0F476BAA"/>
    <w:rsid w:val="103F6F2F"/>
    <w:rsid w:val="105C17D3"/>
    <w:rsid w:val="10616D58"/>
    <w:rsid w:val="11DA5AB3"/>
    <w:rsid w:val="1B661EA8"/>
    <w:rsid w:val="210821C0"/>
    <w:rsid w:val="219707AA"/>
    <w:rsid w:val="22410E56"/>
    <w:rsid w:val="23916A3A"/>
    <w:rsid w:val="254C2D14"/>
    <w:rsid w:val="25EE24A8"/>
    <w:rsid w:val="26BE763B"/>
    <w:rsid w:val="294E7AD1"/>
    <w:rsid w:val="29E6295C"/>
    <w:rsid w:val="2BB93FA3"/>
    <w:rsid w:val="2C152862"/>
    <w:rsid w:val="2CAD7975"/>
    <w:rsid w:val="2EFF2BA5"/>
    <w:rsid w:val="32024E86"/>
    <w:rsid w:val="32CE1E89"/>
    <w:rsid w:val="378E11E1"/>
    <w:rsid w:val="389B146D"/>
    <w:rsid w:val="3ADE2D8C"/>
    <w:rsid w:val="3BDF7FE6"/>
    <w:rsid w:val="3CC108F0"/>
    <w:rsid w:val="3CEF5345"/>
    <w:rsid w:val="3F895F2B"/>
    <w:rsid w:val="46584C1D"/>
    <w:rsid w:val="47D927EF"/>
    <w:rsid w:val="49953005"/>
    <w:rsid w:val="49EA7702"/>
    <w:rsid w:val="4D190263"/>
    <w:rsid w:val="4DBB0CBC"/>
    <w:rsid w:val="4EBC1A2B"/>
    <w:rsid w:val="52E91FD0"/>
    <w:rsid w:val="531E0F9C"/>
    <w:rsid w:val="543A01C7"/>
    <w:rsid w:val="59140BF0"/>
    <w:rsid w:val="5A1629CD"/>
    <w:rsid w:val="5A5B044A"/>
    <w:rsid w:val="5BAD78ED"/>
    <w:rsid w:val="5CE24971"/>
    <w:rsid w:val="5FA04AED"/>
    <w:rsid w:val="60E516F3"/>
    <w:rsid w:val="61F56501"/>
    <w:rsid w:val="627C1DA3"/>
    <w:rsid w:val="62BF18E5"/>
    <w:rsid w:val="66061599"/>
    <w:rsid w:val="66654C13"/>
    <w:rsid w:val="66857FC0"/>
    <w:rsid w:val="66FB6F37"/>
    <w:rsid w:val="6B400C03"/>
    <w:rsid w:val="6E913323"/>
    <w:rsid w:val="6FE33A1C"/>
    <w:rsid w:val="71784236"/>
    <w:rsid w:val="730F7B84"/>
    <w:rsid w:val="76473B19"/>
    <w:rsid w:val="771C1FEB"/>
    <w:rsid w:val="77532D52"/>
    <w:rsid w:val="7C453363"/>
    <w:rsid w:val="7D7D33C4"/>
    <w:rsid w:val="7E6C2D29"/>
    <w:rsid w:val="7E966D05"/>
    <w:rsid w:val="7EA72453"/>
    <w:rsid w:val="7FE84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1843</Words>
  <Characters>10664</Characters>
  <Lines>0</Lines>
  <Paragraphs>0</Paragraphs>
  <TotalTime>0</TotalTime>
  <ScaleCrop>false</ScaleCrop>
  <LinksUpToDate>false</LinksUpToDate>
  <CharactersWithSpaces>12380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2025-12-15T09:12:00Z</dcterms:created>
  <dc:creator>DELL</dc:creator>
  <cp:lastModifiedBy>李宗桓</cp:lastModifiedBy>
  <dcterms:modified xsi:type="dcterms:W3CDTF">2025-12-16T07:36:43Z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FE4C2AEDF89C4191B8F831A8B42324A8_12</vt:lpwstr>
  </property>
</Properties>
</file>