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1D782">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689DD229">
      <w:pPr>
        <w:rPr>
          <w:rFonts w:hint="default" w:ascii="Times New Roman" w:hAnsi="Times New Roman" w:cs="Times New Roman"/>
          <w:b/>
          <w:bCs/>
          <w:sz w:val="28"/>
          <w:szCs w:val="36"/>
          <w:lang w:val="en-US" w:eastAsia="zh-CN"/>
        </w:rPr>
      </w:pPr>
      <w:r>
        <w:rPr>
          <w:rFonts w:hint="eastAsia" w:ascii="Times New Roman" w:hAnsi="Times New Roman" w:cs="Times New Roman"/>
          <w:lang w:val="en-US" w:eastAsia="zh-CN"/>
        </w:rPr>
        <w:t>$</w:t>
      </w:r>
    </w:p>
    <w:p w14:paraId="474C975A">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IDT DsiRNA Design Tool - Summary</w:t>
      </w:r>
    </w:p>
    <w:p w14:paraId="3E666972">
      <w:pPr>
        <w:rPr>
          <w:rFonts w:hint="default" w:ascii="Times New Roman" w:hAnsi="Times New Roman" w:cs="Times New Roman"/>
        </w:rPr>
      </w:pPr>
      <w:r>
        <w:rPr>
          <w:rFonts w:hint="default" w:ascii="Times New Roman" w:hAnsi="Times New Roman" w:cs="Times New Roman"/>
          <w:b/>
          <w:bCs/>
        </w:rPr>
        <w:t>Tool Name:</w:t>
      </w:r>
      <w:r>
        <w:rPr>
          <w:rFonts w:hint="default" w:ascii="Times New Roman" w:hAnsi="Times New Roman" w:cs="Times New Roman"/>
        </w:rPr>
        <w:t> IDT RNAi Design Tool (including Dicer-Substrate siRNA / DsiRNA design)</w:t>
      </w:r>
      <w:r>
        <w:rPr>
          <w:rFonts w:hint="default" w:ascii="Times New Roman" w:hAnsi="Times New Roman" w:cs="Times New Roman"/>
        </w:rPr>
        <w:br w:type="textWrapping"/>
      </w:r>
      <w:r>
        <w:rPr>
          <w:rFonts w:hint="default" w:ascii="Times New Roman" w:hAnsi="Times New Roman" w:cs="Times New Roman"/>
          <w:b/>
          <w:bCs/>
        </w:rPr>
        <w:t>Developer / Unit: </w:t>
      </w:r>
      <w:r>
        <w:rPr>
          <w:rFonts w:hint="default" w:ascii="Times New Roman" w:hAnsi="Times New Roman" w:cs="Times New Roman"/>
        </w:rPr>
        <w:t>Integrated DNA Technologies (IDT)</w:t>
      </w:r>
    </w:p>
    <w:p w14:paraId="5FABCA2E">
      <w:pPr>
        <w:rPr>
          <w:rFonts w:hint="default" w:ascii="Times New Roman" w:hAnsi="Times New Roman" w:cs="Times New Roman"/>
          <w:b/>
          <w:bCs/>
        </w:rPr>
      </w:pPr>
      <w:r>
        <w:rPr>
          <w:rFonts w:hint="default" w:ascii="Times New Roman" w:hAnsi="Times New Roman" w:cs="Times New Roman"/>
          <w:b/>
          <w:bCs/>
        </w:rPr>
        <w:t>Core Principles:</w:t>
      </w:r>
    </w:p>
    <w:p w14:paraId="13EC30AF">
      <w:pPr>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Unified Rule Integration for Standard siRNA: Combines key design criteria from multiple seminal publications (Elbashir, Reynolds, Ui-Tei, Amarzguioui, Hsieh) into a single algorithm. This includes the AA-N19 motif, avoidance of homopolymer runs, position-specific nucleotide preferences, and enforcement of thermodynamic asymmetry to promote antisense strand RISC loading.</w:t>
      </w:r>
    </w:p>
    <w:p w14:paraId="593E360D">
      <w:pPr>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Specialized Dicer-Substrate RNA (DsiRNA) Design: Offers a distinct, advanced algorithm for designing 27-mer duplexes (DsiRNAs) based on the principle that providing a substrate for the Dicer enzyme, rather than its product (21-mer siRNA), can enhance potency. The design ensures the predicted Dicer cleavage product corresponds to an effective 21-mer core, incorporating asymmetric overhangs and specific chemical modifications (e.g., DNA bases) to direct processing.</w:t>
      </w:r>
    </w:p>
    <w:p w14:paraId="18834645">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7D17A3A0">
      <w:pPr>
        <w:rPr>
          <w:rFonts w:hint="default" w:ascii="Times New Roman" w:hAnsi="Times New Roman" w:cs="Times New Roman"/>
          <w:b/>
          <w:bCs/>
        </w:rPr>
      </w:pPr>
      <w:r>
        <w:rPr>
          <w:rFonts w:hint="default" w:ascii="Times New Roman" w:hAnsi="Times New Roman" w:cs="Times New Roman"/>
          <w:b/>
          <w:bCs/>
        </w:rPr>
        <w:t>Advantages:</w:t>
      </w:r>
    </w:p>
    <w:p w14:paraId="5AB61E38">
      <w:pPr>
        <w:rPr>
          <w:rFonts w:hint="default" w:ascii="Times New Roman" w:hAnsi="Times New Roman" w:cs="Times New Roman"/>
        </w:rPr>
      </w:pPr>
      <w:r>
        <w:rPr>
          <w:rFonts w:hint="default" w:ascii="Times New Roman" w:hAnsi="Times New Roman" w:cs="Times New Roman"/>
        </w:rPr>
        <w:t>End-to-End Commercial Integration &amp; Reliability: The tool is seamlessly embedded within IDT's industry-leading oligonucleotide synthesis and ordering platform. Designed sequences (both standard siRNA and advanced DsiRNA) can be ordered immediately with guaranteed quality, offering an unmatched, low-risk workflow from design to experiment.</w:t>
      </w:r>
    </w:p>
    <w:p w14:paraId="5820679E">
      <w:pPr>
        <w:rPr>
          <w:rFonts w:hint="default" w:ascii="Times New Roman" w:hAnsi="Times New Roman" w:cs="Times New Roman"/>
        </w:rPr>
      </w:pPr>
      <w:r>
        <w:rPr>
          <w:rFonts w:hint="default" w:ascii="Times New Roman" w:hAnsi="Times New Roman" w:cs="Times New Roman"/>
        </w:rPr>
        <w:t>Specialization in High-Potency Formats: It uniquely provides optimized design for Dicer-Substrate RNAs (DsiRNAs), which are reported to offer significantly increased potency and durability of silencing compared to standard 21-mer siRNAs, a feature not commonly found in free academic tools.</w:t>
      </w:r>
    </w:p>
    <w:p w14:paraId="4F476E00">
      <w:pPr>
        <w:rPr>
          <w:rFonts w:hint="default" w:ascii="Times New Roman" w:hAnsi="Times New Roman" w:cs="Times New Roman"/>
        </w:rPr>
      </w:pPr>
      <w:r>
        <w:rPr>
          <w:rFonts w:hint="default" w:ascii="Times New Roman" w:hAnsi="Times New Roman" w:cs="Times New Roman"/>
        </w:rPr>
        <w:t>Curated, Multi-Rule Synthesis with BLAST Specificity Check: The algorithm synthesizes parameters from several major, experimentally-derived guidelines, potentially increasing robustness. The web interface integrates BLAST analysis against target species genomes to filter for specificity, a critical step for reducing off-target effects.</w:t>
      </w:r>
    </w:p>
    <w:p w14:paraId="281815CC">
      <w:pPr>
        <w:rPr>
          <w:rFonts w:hint="default" w:ascii="Times New Roman" w:hAnsi="Times New Roman" w:cs="Times New Roman"/>
        </w:rPr>
      </w:pPr>
      <w:r>
        <w:rPr>
          <w:rFonts w:hint="default" w:ascii="Times New Roman" w:hAnsi="Times New Roman" w:cs="Times New Roman"/>
        </w:rPr>
        <w:t>Vendor-Optimized and Supported: The designs are tuned for performance with IDT's proprietary chemistries and are backed by extensive internal validation and technical support, reducing experimental uncertainty.</w:t>
      </w:r>
    </w:p>
    <w:p w14:paraId="19D03FB4">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0D787722">
      <w:pPr>
        <w:rPr>
          <w:rFonts w:hint="default" w:ascii="Times New Roman" w:hAnsi="Times New Roman" w:cs="Times New Roman"/>
          <w:b/>
          <w:bCs/>
        </w:rPr>
      </w:pPr>
      <w:r>
        <w:rPr>
          <w:rFonts w:hint="default" w:ascii="Times New Roman" w:hAnsi="Times New Roman" w:cs="Times New Roman"/>
          <w:b/>
          <w:bCs/>
        </w:rPr>
        <w:t>Limitations:</w:t>
      </w:r>
    </w:p>
    <w:p w14:paraId="289B50E1">
      <w:pPr>
        <w:rPr>
          <w:rFonts w:hint="default" w:ascii="Times New Roman" w:hAnsi="Times New Roman" w:cs="Times New Roman"/>
        </w:rPr>
      </w:pPr>
      <w:r>
        <w:rPr>
          <w:rFonts w:hint="default" w:ascii="Times New Roman" w:hAnsi="Times New Roman" w:cs="Times New Roman"/>
        </w:rPr>
        <w:t>Proprietary and Non-Transparent Algorithm: The exact weighting, implementation, and validation datasets for both its standard siRNA and DsiRNA algorithms are not publicly disclosed. This "black-box" nature limits independent assessment and direct comparison with transparent, peer-reviewed tools like OligoWalk.</w:t>
      </w:r>
    </w:p>
    <w:p w14:paraId="0B8698BE">
      <w:pPr>
        <w:rPr>
          <w:rFonts w:hint="default" w:ascii="Times New Roman" w:hAnsi="Times New Roman" w:cs="Times New Roman"/>
        </w:rPr>
      </w:pPr>
      <w:r>
        <w:rPr>
          <w:rFonts w:hint="default" w:ascii="Times New Roman" w:hAnsi="Times New Roman" w:cs="Times New Roman"/>
        </w:rPr>
        <w:t>Primarily Rule-Based, Lacks Advanced In Silico Predictive Modeling: While incorporating key rules, the tool does not appear to implement sophisticated computational models such as target mRNA accessibility calculations via partition function (a core strength of OligoWalk) or machine learning efficacy predictors that consider the full thermodynamic ensemble.</w:t>
      </w:r>
    </w:p>
    <w:p w14:paraId="74CBE6DC">
      <w:pPr>
        <w:rPr>
          <w:rFonts w:hint="default" w:ascii="Times New Roman" w:hAnsi="Times New Roman" w:cs="Times New Roman"/>
        </w:rPr>
      </w:pPr>
      <w:r>
        <w:rPr>
          <w:rFonts w:hint="default" w:ascii="Times New Roman" w:hAnsi="Times New Roman" w:cs="Times New Roman"/>
        </w:rPr>
        <w:t>Scope and Flexibility: The tool is primarily optimized for designing synthetic siRNA/DsiRNA duplexes for direct purchase from IDT. It offers less flexibility for specialized applications that require extensive parameter customization, integration with custom vector backbones for shRNA (unlike siRNA Wizard), or for researchers who do not plan to use IDT as their synthesis provider.</w:t>
      </w:r>
    </w:p>
    <w:p w14:paraId="33154C44">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BF20883">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2AD915B">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9E61DD8">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bCs/>
          <w:kern w:val="2"/>
          <w:sz w:val="28"/>
          <w:szCs w:val="36"/>
          <w:lang w:val="en-US" w:eastAsia="zh-CN" w:bidi="ar-SA"/>
        </w:rPr>
      </w:pPr>
      <w:r>
        <w:rPr>
          <w:rFonts w:hint="default" w:ascii="Times New Roman" w:hAnsi="Times New Roman" w:cs="Times New Roman" w:eastAsiaTheme="minorEastAsia"/>
          <w:b/>
          <w:bCs/>
          <w:kern w:val="2"/>
          <w:sz w:val="28"/>
          <w:szCs w:val="36"/>
          <w:lang w:val="en-US" w:eastAsia="zh-CN" w:bidi="ar-SA"/>
        </w:rPr>
        <w:t>IDT’s Unified RNAi Parameters</w:t>
      </w:r>
    </w:p>
    <w:p w14:paraId="3D5445D3">
      <w:pPr>
        <w:widowControl w:val="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The rational selection of effective RNAi molecules for gene knockdown involves including features that enhance the success and avoiding features that increase the failure of the resulting RNAi molecule. Software for the design of effective RNAi molecules should select candidate RNAi sequences based upon their ability to conform to effectiveness criteria. IDT’s default unified RNAi design parameters incorporate the following criteria for RNAi selection and ranking from the target sequence of interest.</w:t>
      </w:r>
    </w:p>
    <w:p w14:paraId="2847ADE1">
      <w:pPr>
        <w:widowControl w:val="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034C6555">
      <w:pPr>
        <w:jc w:val="both"/>
        <w:rPr>
          <w:rFonts w:hint="eastAsia" w:ascii="Times New Roman" w:hAnsi="Times New Roman" w:cs="Times New Roman"/>
          <w:b/>
          <w:bCs/>
          <w:sz w:val="24"/>
          <w:szCs w:val="32"/>
          <w:highlight w:val="none"/>
          <w:lang w:val="en-US" w:eastAsia="zh-CN"/>
        </w:rPr>
      </w:pPr>
      <w:r>
        <w:rPr>
          <w:rFonts w:hint="eastAsia" w:ascii="Times New Roman" w:hAnsi="Times New Roman" w:cs="Times New Roman"/>
          <w:b/>
          <w:bCs/>
          <w:sz w:val="24"/>
          <w:szCs w:val="32"/>
          <w:highlight w:val="none"/>
          <w:lang w:val="en-US" w:eastAsia="zh-CN"/>
        </w:rPr>
        <w:t>Unified RNAi design parameters:</w:t>
      </w:r>
    </w:p>
    <w:p w14:paraId="46C25AD6">
      <w:pPr>
        <w:widowControl w:val="0"/>
        <w:numPr>
          <w:ilvl w:val="0"/>
          <w:numId w:val="1"/>
        </w:numPr>
        <w:jc w:val="both"/>
        <w:rPr>
          <w:rFonts w:hint="eastAsia" w:ascii="Times New Roman" w:hAnsi="Times New Roman" w:cs="Times New Roman" w:eastAsiaTheme="minorEastAsia"/>
          <w:b/>
          <w:bCs/>
          <w:kern w:val="2"/>
          <w:sz w:val="21"/>
          <w:szCs w:val="24"/>
          <w:lang w:val="en-US" w:eastAsia="zh-CN" w:bidi="ar-SA"/>
        </w:rPr>
      </w:pPr>
      <w:r>
        <w:rPr>
          <w:rFonts w:hint="eastAsia" w:ascii="Times New Roman" w:hAnsi="Times New Roman" w:cs="Times New Roman" w:eastAsiaTheme="minorEastAsia"/>
          <w:b/>
          <w:bCs/>
          <w:kern w:val="2"/>
          <w:sz w:val="21"/>
          <w:szCs w:val="24"/>
          <w:lang w:val="en-US" w:eastAsia="zh-CN" w:bidi="ar-SA"/>
        </w:rPr>
        <w:t>General Nucleotide Patterns</w:t>
      </w:r>
    </w:p>
    <w:p w14:paraId="35AFFC4C">
      <w:pPr>
        <w:widowControl w:val="0"/>
        <w:numPr>
          <w:numId w:val="0"/>
        </w:numPr>
        <w:ind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Target: AA - N19 (Elbashir et al. 2001)</w:t>
      </w:r>
    </w:p>
    <w:p w14:paraId="1D3123B9">
      <w:pPr>
        <w:widowControl w:val="0"/>
        <w:numPr>
          <w:numId w:val="0"/>
        </w:numPr>
        <w:ind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Avoid: GGGG, AAAA, CCCC, TTTT, SSSS (Hseih et al. 2004; Ui - Tei et al. 2004)</w:t>
      </w:r>
    </w:p>
    <w:p w14:paraId="7689CCC3">
      <w:pPr>
        <w:widowControl w:val="0"/>
        <w:numPr>
          <w:numId w:val="0"/>
        </w:numPr>
        <w:ind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DC9B12E">
      <w:pPr>
        <w:widowControl w:val="0"/>
        <w:numPr>
          <w:ilvl w:val="0"/>
          <w:numId w:val="1"/>
        </w:numPr>
        <w:ind w:left="0" w:leftChars="0" w:firstLine="0" w:firstLineChars="0"/>
        <w:jc w:val="both"/>
        <w:rPr>
          <w:rFonts w:hint="eastAsia" w:ascii="Times New Roman" w:hAnsi="Times New Roman" w:cs="Times New Roman" w:eastAsiaTheme="minorEastAsia"/>
          <w:b/>
          <w:bCs/>
          <w:kern w:val="2"/>
          <w:sz w:val="21"/>
          <w:szCs w:val="24"/>
          <w:lang w:val="en-US" w:eastAsia="zh-CN" w:bidi="ar-SA"/>
        </w:rPr>
      </w:pPr>
      <w:r>
        <w:rPr>
          <w:rFonts w:hint="eastAsia" w:ascii="Times New Roman" w:hAnsi="Times New Roman" w:cs="Times New Roman" w:eastAsiaTheme="minorEastAsia"/>
          <w:b/>
          <w:bCs/>
          <w:kern w:val="2"/>
          <w:sz w:val="21"/>
          <w:szCs w:val="24"/>
          <w:lang w:val="en-US" w:eastAsia="zh-CN" w:bidi="ar-SA"/>
        </w:rPr>
        <w:t>Position Specific Nucleotide Patterns</w:t>
      </w:r>
    </w:p>
    <w:tbl>
      <w:tblPr>
        <w:tblStyle w:val="6"/>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7"/>
        <w:gridCol w:w="367"/>
        <w:gridCol w:w="335"/>
        <w:gridCol w:w="361"/>
        <w:gridCol w:w="336"/>
        <w:gridCol w:w="336"/>
        <w:gridCol w:w="362"/>
        <w:gridCol w:w="336"/>
        <w:gridCol w:w="336"/>
        <w:gridCol w:w="336"/>
        <w:gridCol w:w="456"/>
        <w:gridCol w:w="456"/>
        <w:gridCol w:w="456"/>
        <w:gridCol w:w="456"/>
        <w:gridCol w:w="456"/>
        <w:gridCol w:w="456"/>
        <w:gridCol w:w="456"/>
        <w:gridCol w:w="456"/>
        <w:gridCol w:w="456"/>
        <w:gridCol w:w="456"/>
        <w:gridCol w:w="478"/>
      </w:tblGrid>
      <w:tr w14:paraId="33D9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4D24C3C6">
            <w:pPr>
              <w:jc w:val="center"/>
              <w:rPr>
                <w:rFonts w:hint="default" w:ascii="Times New Roman" w:hAnsi="Times New Roman" w:cs="Times New Roman" w:eastAsiaTheme="minorEastAsia"/>
                <w:kern w:val="2"/>
                <w:sz w:val="18"/>
                <w:szCs w:val="18"/>
                <w:vertAlign w:val="baseline"/>
                <w:lang w:val="en-US" w:eastAsia="zh-CN" w:bidi="ar-SA"/>
              </w:rPr>
            </w:pPr>
          </w:p>
        </w:tc>
        <w:tc>
          <w:tcPr>
            <w:tcW w:w="216" w:type="pct"/>
            <w:vAlign w:val="center"/>
          </w:tcPr>
          <w:p w14:paraId="46A64F0D">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w:t>
            </w:r>
          </w:p>
        </w:tc>
        <w:tc>
          <w:tcPr>
            <w:tcW w:w="197" w:type="pct"/>
            <w:vAlign w:val="center"/>
          </w:tcPr>
          <w:p w14:paraId="425D1AF9">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2</w:t>
            </w:r>
          </w:p>
        </w:tc>
        <w:tc>
          <w:tcPr>
            <w:tcW w:w="212" w:type="pct"/>
            <w:vAlign w:val="center"/>
          </w:tcPr>
          <w:p w14:paraId="3F4A702C">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3</w:t>
            </w:r>
          </w:p>
        </w:tc>
        <w:tc>
          <w:tcPr>
            <w:tcW w:w="197" w:type="pct"/>
            <w:vAlign w:val="center"/>
          </w:tcPr>
          <w:p w14:paraId="54A6F41C">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4</w:t>
            </w:r>
          </w:p>
        </w:tc>
        <w:tc>
          <w:tcPr>
            <w:tcW w:w="197" w:type="pct"/>
            <w:vAlign w:val="center"/>
          </w:tcPr>
          <w:p w14:paraId="12B077CB">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5</w:t>
            </w:r>
          </w:p>
        </w:tc>
        <w:tc>
          <w:tcPr>
            <w:tcW w:w="212" w:type="pct"/>
            <w:vAlign w:val="center"/>
          </w:tcPr>
          <w:p w14:paraId="7041475E">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6</w:t>
            </w:r>
          </w:p>
        </w:tc>
        <w:tc>
          <w:tcPr>
            <w:tcW w:w="197" w:type="pct"/>
            <w:vAlign w:val="center"/>
          </w:tcPr>
          <w:p w14:paraId="2F0A3D3F">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7</w:t>
            </w:r>
          </w:p>
        </w:tc>
        <w:tc>
          <w:tcPr>
            <w:tcW w:w="197" w:type="pct"/>
            <w:vAlign w:val="center"/>
          </w:tcPr>
          <w:p w14:paraId="23A1E2E9">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8</w:t>
            </w:r>
          </w:p>
        </w:tc>
        <w:tc>
          <w:tcPr>
            <w:tcW w:w="197" w:type="pct"/>
            <w:vAlign w:val="center"/>
          </w:tcPr>
          <w:p w14:paraId="44B9DD89">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9</w:t>
            </w:r>
          </w:p>
        </w:tc>
        <w:tc>
          <w:tcPr>
            <w:tcW w:w="267" w:type="pct"/>
            <w:vAlign w:val="center"/>
          </w:tcPr>
          <w:p w14:paraId="08D065A0">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10</w:t>
            </w:r>
          </w:p>
        </w:tc>
        <w:tc>
          <w:tcPr>
            <w:tcW w:w="267" w:type="pct"/>
            <w:vAlign w:val="center"/>
          </w:tcPr>
          <w:p w14:paraId="422788D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11</w:t>
            </w:r>
          </w:p>
        </w:tc>
        <w:tc>
          <w:tcPr>
            <w:tcW w:w="267" w:type="pct"/>
            <w:vAlign w:val="center"/>
          </w:tcPr>
          <w:p w14:paraId="5B99130A">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12</w:t>
            </w:r>
          </w:p>
        </w:tc>
        <w:tc>
          <w:tcPr>
            <w:tcW w:w="267" w:type="pct"/>
            <w:vAlign w:val="center"/>
          </w:tcPr>
          <w:p w14:paraId="70DA23FA">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13</w:t>
            </w:r>
          </w:p>
        </w:tc>
        <w:tc>
          <w:tcPr>
            <w:tcW w:w="267" w:type="pct"/>
            <w:vAlign w:val="center"/>
          </w:tcPr>
          <w:p w14:paraId="046DD5A7">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14</w:t>
            </w:r>
          </w:p>
        </w:tc>
        <w:tc>
          <w:tcPr>
            <w:tcW w:w="267" w:type="pct"/>
            <w:vAlign w:val="center"/>
          </w:tcPr>
          <w:p w14:paraId="5451E093">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15</w:t>
            </w:r>
          </w:p>
        </w:tc>
        <w:tc>
          <w:tcPr>
            <w:tcW w:w="267" w:type="pct"/>
            <w:vAlign w:val="center"/>
          </w:tcPr>
          <w:p w14:paraId="72DB6EFC">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16</w:t>
            </w:r>
          </w:p>
        </w:tc>
        <w:tc>
          <w:tcPr>
            <w:tcW w:w="267" w:type="pct"/>
            <w:vAlign w:val="center"/>
          </w:tcPr>
          <w:p w14:paraId="4E99E747">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17</w:t>
            </w:r>
          </w:p>
        </w:tc>
        <w:tc>
          <w:tcPr>
            <w:tcW w:w="267" w:type="pct"/>
            <w:vAlign w:val="center"/>
          </w:tcPr>
          <w:p w14:paraId="243BF733">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18</w:t>
            </w:r>
          </w:p>
        </w:tc>
        <w:tc>
          <w:tcPr>
            <w:tcW w:w="267" w:type="pct"/>
            <w:vAlign w:val="center"/>
          </w:tcPr>
          <w:p w14:paraId="0C07AA3C">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19</w:t>
            </w:r>
          </w:p>
        </w:tc>
        <w:tc>
          <w:tcPr>
            <w:tcW w:w="280" w:type="pct"/>
            <w:vAlign w:val="center"/>
          </w:tcPr>
          <w:p w14:paraId="495010B3">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ref</w:t>
            </w:r>
          </w:p>
        </w:tc>
      </w:tr>
      <w:tr w14:paraId="7CCC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79C91775">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t>
            </w:r>
          </w:p>
        </w:tc>
        <w:tc>
          <w:tcPr>
            <w:tcW w:w="216" w:type="pct"/>
            <w:vAlign w:val="center"/>
          </w:tcPr>
          <w:p w14:paraId="45968321">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S</w:t>
            </w:r>
          </w:p>
        </w:tc>
        <w:tc>
          <w:tcPr>
            <w:tcW w:w="197" w:type="pct"/>
            <w:vAlign w:val="center"/>
          </w:tcPr>
          <w:p w14:paraId="7EA71637">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348A8A3E">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0CD286F5">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C842402">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197A2598">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1623D15B">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BE399D5">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E397731">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E82B580">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2FDED13">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6EE1FAE">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0B4048B8">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362362BB">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CBD5ACC">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667CB75">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08113AAD">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3D1BC28C">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0926ECA">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w:t>
            </w:r>
          </w:p>
        </w:tc>
        <w:tc>
          <w:tcPr>
            <w:tcW w:w="280" w:type="pct"/>
            <w:vAlign w:val="center"/>
          </w:tcPr>
          <w:p w14:paraId="61C33AB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1</w:t>
            </w:r>
          </w:p>
        </w:tc>
      </w:tr>
      <w:tr w14:paraId="1C2C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05386FD1">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t>
            </w:r>
          </w:p>
        </w:tc>
        <w:tc>
          <w:tcPr>
            <w:tcW w:w="216" w:type="pct"/>
            <w:vAlign w:val="center"/>
          </w:tcPr>
          <w:p w14:paraId="1337EFB7">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S</w:t>
            </w:r>
          </w:p>
        </w:tc>
        <w:tc>
          <w:tcPr>
            <w:tcW w:w="197" w:type="pct"/>
            <w:vAlign w:val="center"/>
          </w:tcPr>
          <w:p w14:paraId="551EBA8C">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64C6070E">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1E404392">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7038929A">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10036EC9">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A</w:t>
            </w:r>
          </w:p>
        </w:tc>
        <w:tc>
          <w:tcPr>
            <w:tcW w:w="197" w:type="pct"/>
            <w:vAlign w:val="center"/>
          </w:tcPr>
          <w:p w14:paraId="6746440B">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6CA52078">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33A3BCC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04AFA2E1">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BAE7EE9">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35F4712">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2103203">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U</w:t>
            </w:r>
          </w:p>
        </w:tc>
        <w:tc>
          <w:tcPr>
            <w:tcW w:w="267" w:type="pct"/>
            <w:vAlign w:val="center"/>
          </w:tcPr>
          <w:p w14:paraId="2DC44539">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53B238F">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1E907920">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6A8CC7D">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5160BB3">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18958E7">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H</w:t>
            </w:r>
          </w:p>
        </w:tc>
        <w:tc>
          <w:tcPr>
            <w:tcW w:w="280" w:type="pct"/>
            <w:vAlign w:val="center"/>
          </w:tcPr>
          <w:p w14:paraId="71703649">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2</w:t>
            </w:r>
          </w:p>
        </w:tc>
      </w:tr>
      <w:tr w14:paraId="1048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79D66693">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t>
            </w:r>
          </w:p>
        </w:tc>
        <w:tc>
          <w:tcPr>
            <w:tcW w:w="216" w:type="pct"/>
            <w:vAlign w:val="center"/>
          </w:tcPr>
          <w:p w14:paraId="261EBE16">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0DA8EADC">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66C1A208">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6A2DB96C">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0FA0B451">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2B8DB96E">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52F14524">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99C3890">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6FB9DA57">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3E4256B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05A64BB">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S</w:t>
            </w:r>
          </w:p>
        </w:tc>
        <w:tc>
          <w:tcPr>
            <w:tcW w:w="267" w:type="pct"/>
            <w:vAlign w:val="center"/>
          </w:tcPr>
          <w:p w14:paraId="43D90C52">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C279A96">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A</w:t>
            </w:r>
          </w:p>
        </w:tc>
        <w:tc>
          <w:tcPr>
            <w:tcW w:w="267" w:type="pct"/>
            <w:vAlign w:val="center"/>
          </w:tcPr>
          <w:p w14:paraId="2C885BA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010791F">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600D469C">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G</w:t>
            </w:r>
          </w:p>
        </w:tc>
        <w:tc>
          <w:tcPr>
            <w:tcW w:w="267" w:type="pct"/>
            <w:vAlign w:val="center"/>
          </w:tcPr>
          <w:p w14:paraId="471CF728">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CBC5D9D">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F01501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T</w:t>
            </w:r>
          </w:p>
        </w:tc>
        <w:tc>
          <w:tcPr>
            <w:tcW w:w="280" w:type="pct"/>
            <w:vAlign w:val="center"/>
          </w:tcPr>
          <w:p w14:paraId="4BE5C110">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3</w:t>
            </w:r>
          </w:p>
        </w:tc>
      </w:tr>
      <w:tr w14:paraId="297C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749165BC">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t>
            </w:r>
          </w:p>
        </w:tc>
        <w:tc>
          <w:tcPr>
            <w:tcW w:w="216" w:type="pct"/>
            <w:vAlign w:val="center"/>
          </w:tcPr>
          <w:p w14:paraId="516578EA">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9E6FDF4">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10BB17DC">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A</w:t>
            </w:r>
          </w:p>
        </w:tc>
        <w:tc>
          <w:tcPr>
            <w:tcW w:w="197" w:type="pct"/>
            <w:vAlign w:val="center"/>
          </w:tcPr>
          <w:p w14:paraId="57C19494">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71C0C02E">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1DBEE71A">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63425055">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1DF50B6B">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2A5E954E">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991289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U</w:t>
            </w:r>
          </w:p>
        </w:tc>
        <w:tc>
          <w:tcPr>
            <w:tcW w:w="267" w:type="pct"/>
            <w:vAlign w:val="center"/>
          </w:tcPr>
          <w:p w14:paraId="18CD6E5C">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3B6E6DF">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17D0604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13CB625D">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DEB8B32">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05D2D54">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B9FB2C1">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12611605">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7D5E0AF">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A</w:t>
            </w:r>
          </w:p>
        </w:tc>
        <w:tc>
          <w:tcPr>
            <w:tcW w:w="280" w:type="pct"/>
            <w:vAlign w:val="center"/>
          </w:tcPr>
          <w:p w14:paraId="4AA7258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4</w:t>
            </w:r>
          </w:p>
        </w:tc>
      </w:tr>
      <w:tr w14:paraId="08FD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263B39F7">
            <w:pPr>
              <w:jc w:val="center"/>
              <w:rPr>
                <w:rFonts w:hint="default" w:ascii="Times New Roman" w:hAnsi="Times New Roman" w:cs="Times New Roman" w:eastAsiaTheme="minorEastAsia"/>
                <w:kern w:val="2"/>
                <w:sz w:val="18"/>
                <w:szCs w:val="18"/>
                <w:vertAlign w:val="baseline"/>
                <w:lang w:val="en-US" w:eastAsia="zh-CN" w:bidi="ar-SA"/>
              </w:rPr>
            </w:pPr>
          </w:p>
        </w:tc>
        <w:tc>
          <w:tcPr>
            <w:tcW w:w="216" w:type="pct"/>
            <w:vAlign w:val="center"/>
          </w:tcPr>
          <w:p w14:paraId="2FAD1CD0">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3E623F12">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759298D1">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7FC37622">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134F2D6F">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5EE2E24C">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6E901746">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C7E131F">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0C188B00">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C782C01">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9D7FAA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457AAA1">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0459C978">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41D12FB">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38BDBD9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721E471">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3BEF1C8">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37D12C0">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0FF90694">
            <w:pPr>
              <w:jc w:val="center"/>
              <w:rPr>
                <w:rFonts w:hint="default" w:ascii="Times New Roman" w:hAnsi="Times New Roman" w:cs="Times New Roman" w:eastAsiaTheme="minorEastAsia"/>
                <w:kern w:val="2"/>
                <w:sz w:val="18"/>
                <w:szCs w:val="18"/>
                <w:vertAlign w:val="baseline"/>
                <w:lang w:val="en-US" w:eastAsia="zh-CN" w:bidi="ar-SA"/>
              </w:rPr>
            </w:pPr>
          </w:p>
        </w:tc>
        <w:tc>
          <w:tcPr>
            <w:tcW w:w="280" w:type="pct"/>
            <w:vAlign w:val="center"/>
          </w:tcPr>
          <w:p w14:paraId="74D12A6E">
            <w:pPr>
              <w:jc w:val="center"/>
              <w:rPr>
                <w:rFonts w:hint="default" w:ascii="Times New Roman" w:hAnsi="Times New Roman" w:cs="Times New Roman" w:eastAsiaTheme="minorEastAsia"/>
                <w:kern w:val="2"/>
                <w:sz w:val="18"/>
                <w:szCs w:val="18"/>
                <w:vertAlign w:val="baseline"/>
                <w:lang w:val="en-US" w:eastAsia="zh-CN" w:bidi="ar-SA"/>
              </w:rPr>
            </w:pPr>
          </w:p>
        </w:tc>
      </w:tr>
      <w:tr w14:paraId="42762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466B5C20">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t>
            </w:r>
          </w:p>
        </w:tc>
        <w:tc>
          <w:tcPr>
            <w:tcW w:w="216" w:type="pct"/>
            <w:vAlign w:val="center"/>
          </w:tcPr>
          <w:p w14:paraId="42B66123">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U</w:t>
            </w:r>
          </w:p>
        </w:tc>
        <w:tc>
          <w:tcPr>
            <w:tcW w:w="197" w:type="pct"/>
            <w:vAlign w:val="center"/>
          </w:tcPr>
          <w:p w14:paraId="6DC42B85">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7DFC99E2">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D23EF2A">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1BEC4334">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6E7E3A24">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85C7004">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2F80984D">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4FE22794">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D027DDB">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U</w:t>
            </w:r>
          </w:p>
        </w:tc>
        <w:tc>
          <w:tcPr>
            <w:tcW w:w="267" w:type="pct"/>
            <w:vAlign w:val="center"/>
          </w:tcPr>
          <w:p w14:paraId="234026FD">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5BD1A8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B5CF715">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0FCDD48">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C715FDC">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0B6FAB42">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86CF87F">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3E30767">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372867D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G</w:t>
            </w:r>
          </w:p>
        </w:tc>
        <w:tc>
          <w:tcPr>
            <w:tcW w:w="280" w:type="pct"/>
            <w:vAlign w:val="center"/>
          </w:tcPr>
          <w:p w14:paraId="57F8F290">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2</w:t>
            </w:r>
          </w:p>
        </w:tc>
      </w:tr>
      <w:tr w14:paraId="26A9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 w:type="pct"/>
            <w:vAlign w:val="center"/>
          </w:tcPr>
          <w:p w14:paraId="1C79CBE9">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t>
            </w:r>
          </w:p>
        </w:tc>
        <w:tc>
          <w:tcPr>
            <w:tcW w:w="216" w:type="pct"/>
            <w:vAlign w:val="center"/>
          </w:tcPr>
          <w:p w14:paraId="58C40280">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5596BE26">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54405584">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386247EB">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0246134D">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72D9918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C</w:t>
            </w:r>
          </w:p>
        </w:tc>
        <w:tc>
          <w:tcPr>
            <w:tcW w:w="197" w:type="pct"/>
            <w:vAlign w:val="center"/>
          </w:tcPr>
          <w:p w14:paraId="27E94AC4">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51A76007">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300BC07E">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1E497357">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BDA2157">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w:t>
            </w:r>
          </w:p>
        </w:tc>
        <w:tc>
          <w:tcPr>
            <w:tcW w:w="267" w:type="pct"/>
            <w:vAlign w:val="center"/>
          </w:tcPr>
          <w:p w14:paraId="7710EA2B">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7C21684">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24F00EB0">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89B6F73">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ECCE7D3">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4CF93026">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38196C81">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5D85D5B">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G</w:t>
            </w:r>
          </w:p>
        </w:tc>
        <w:tc>
          <w:tcPr>
            <w:tcW w:w="280" w:type="pct"/>
            <w:vAlign w:val="center"/>
          </w:tcPr>
          <w:p w14:paraId="3EBFB93E">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3</w:t>
            </w:r>
          </w:p>
        </w:tc>
      </w:tr>
      <w:tr w14:paraId="19C4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216" w:type="pct"/>
            <w:vAlign w:val="center"/>
          </w:tcPr>
          <w:p w14:paraId="0FBB3964">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w:t>
            </w:r>
          </w:p>
        </w:tc>
        <w:tc>
          <w:tcPr>
            <w:tcW w:w="216" w:type="pct"/>
            <w:vAlign w:val="center"/>
          </w:tcPr>
          <w:p w14:paraId="208813D8">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785C8DAF">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616A7FBC">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51A10C00">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5220F70B">
            <w:pPr>
              <w:jc w:val="center"/>
              <w:rPr>
                <w:rFonts w:hint="default" w:ascii="Times New Roman" w:hAnsi="Times New Roman" w:cs="Times New Roman" w:eastAsiaTheme="minorEastAsia"/>
                <w:kern w:val="2"/>
                <w:sz w:val="18"/>
                <w:szCs w:val="18"/>
                <w:vertAlign w:val="baseline"/>
                <w:lang w:val="en-US" w:eastAsia="zh-CN" w:bidi="ar-SA"/>
              </w:rPr>
            </w:pPr>
          </w:p>
        </w:tc>
        <w:tc>
          <w:tcPr>
            <w:tcW w:w="212" w:type="pct"/>
            <w:vAlign w:val="center"/>
          </w:tcPr>
          <w:p w14:paraId="3E81AC0C">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319EEC24">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2745B727">
            <w:pPr>
              <w:jc w:val="center"/>
              <w:rPr>
                <w:rFonts w:hint="default" w:ascii="Times New Roman" w:hAnsi="Times New Roman" w:cs="Times New Roman" w:eastAsiaTheme="minorEastAsia"/>
                <w:kern w:val="2"/>
                <w:sz w:val="18"/>
                <w:szCs w:val="18"/>
                <w:vertAlign w:val="baseline"/>
                <w:lang w:val="en-US" w:eastAsia="zh-CN" w:bidi="ar-SA"/>
              </w:rPr>
            </w:pPr>
          </w:p>
        </w:tc>
        <w:tc>
          <w:tcPr>
            <w:tcW w:w="197" w:type="pct"/>
            <w:vAlign w:val="center"/>
          </w:tcPr>
          <w:p w14:paraId="7AF5C0D2">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67F584D6">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3FBD8F18">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6B11D57B">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1AAA67BA">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G</w:t>
            </w:r>
          </w:p>
        </w:tc>
        <w:tc>
          <w:tcPr>
            <w:tcW w:w="267" w:type="pct"/>
            <w:vAlign w:val="center"/>
          </w:tcPr>
          <w:p w14:paraId="2B281D5F">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61E198B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07FF6653">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AF56592">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5573AB6A">
            <w:pPr>
              <w:jc w:val="center"/>
              <w:rPr>
                <w:rFonts w:hint="default" w:ascii="Times New Roman" w:hAnsi="Times New Roman" w:cs="Times New Roman" w:eastAsiaTheme="minorEastAsia"/>
                <w:kern w:val="2"/>
                <w:sz w:val="18"/>
                <w:szCs w:val="18"/>
                <w:vertAlign w:val="baseline"/>
                <w:lang w:val="en-US" w:eastAsia="zh-CN" w:bidi="ar-SA"/>
              </w:rPr>
            </w:pPr>
          </w:p>
        </w:tc>
        <w:tc>
          <w:tcPr>
            <w:tcW w:w="267" w:type="pct"/>
            <w:vAlign w:val="center"/>
          </w:tcPr>
          <w:p w14:paraId="762999F3">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S</w:t>
            </w:r>
          </w:p>
        </w:tc>
        <w:tc>
          <w:tcPr>
            <w:tcW w:w="280" w:type="pct"/>
            <w:vAlign w:val="center"/>
          </w:tcPr>
          <w:p w14:paraId="31EB3255">
            <w:pPr>
              <w:keepNext w:val="0"/>
              <w:keepLines w:val="0"/>
              <w:widowControl/>
              <w:suppressLineNumbers w:val="0"/>
              <w:jc w:val="center"/>
              <w:textAlignment w:val="bottom"/>
              <w:rPr>
                <w:rFonts w:hint="default" w:ascii="Times New Roman" w:hAnsi="Times New Roman" w:cs="Times New Roman" w:eastAsiaTheme="minorEastAsia"/>
                <w:kern w:val="2"/>
                <w:sz w:val="18"/>
                <w:szCs w:val="18"/>
                <w:vertAlign w:val="baseline"/>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4</w:t>
            </w:r>
          </w:p>
        </w:tc>
      </w:tr>
    </w:tbl>
    <w:p w14:paraId="17DE39E8">
      <w:pPr>
        <w:widowControl w:val="0"/>
        <w:numPr>
          <w:ilvl w:val="0"/>
          <w:numId w:val="0"/>
        </w:numPr>
        <w:ind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kern w:val="2"/>
          <w:sz w:val="21"/>
          <w:szCs w:val="24"/>
          <w:lang w:val="en-US" w:eastAsia="zh-CN" w:bidi="ar-SA"/>
        </w:rPr>
        <w:t>(</w:t>
      </w:r>
      <w:r>
        <w:rPr>
          <w:rFonts w:hint="default" w:ascii="Times New Roman" w:hAnsi="Times New Roman" w:eastAsia="等线" w:cs="Times New Roman"/>
          <w:i w:val="0"/>
          <w:iCs w:val="0"/>
          <w:color w:val="000000"/>
          <w:kern w:val="0"/>
          <w:sz w:val="18"/>
          <w:szCs w:val="18"/>
          <w:u w:val="none"/>
          <w:lang w:val="en-US" w:eastAsia="zh-CN" w:bidi="ar"/>
        </w:rPr>
        <w:t>ref</w:t>
      </w:r>
      <w:r>
        <w:rPr>
          <w:rFonts w:hint="eastAsia" w:ascii="Times New Roman" w:hAnsi="Times New Roman" w:eastAsia="等线" w:cs="Times New Roman"/>
          <w:i w:val="0"/>
          <w:iCs w:val="0"/>
          <w:color w:val="000000"/>
          <w:kern w:val="0"/>
          <w:sz w:val="18"/>
          <w:szCs w:val="18"/>
          <w:u w:val="none"/>
          <w:lang w:val="en-US" w:eastAsia="zh-CN" w:bidi="ar"/>
        </w:rPr>
        <w:t xml:space="preserve">: </w:t>
      </w:r>
      <w:bookmarkStart w:id="0" w:name="_GoBack"/>
      <w:bookmarkEnd w:id="0"/>
      <w:r>
        <w:rPr>
          <w:rFonts w:hint="eastAsia" w:ascii="Times New Roman" w:hAnsi="Times New Roman" w:cs="Times New Roman" w:eastAsiaTheme="minorEastAsia"/>
          <w:kern w:val="2"/>
          <w:sz w:val="21"/>
          <w:szCs w:val="24"/>
          <w:lang w:val="en-US" w:eastAsia="zh-CN" w:bidi="ar-SA"/>
        </w:rPr>
        <w:t>1</w:t>
      </w:r>
      <w:r>
        <w:rPr>
          <w:rFonts w:hint="default" w:ascii="Times New Roman" w:hAnsi="Times New Roman" w:cs="Times New Roman" w:eastAsiaTheme="minorEastAsia"/>
          <w:kern w:val="2"/>
          <w:sz w:val="21"/>
          <w:szCs w:val="24"/>
          <w:lang w:val="en-US" w:eastAsia="zh-CN" w:bidi="ar-SA"/>
        </w:rPr>
        <w:t xml:space="preserve">(Ui-Tei </w:t>
      </w:r>
      <w:r>
        <w:rPr>
          <w:rFonts w:hint="eastAsia" w:ascii="Times New Roman" w:hAnsi="Times New Roman" w:cs="Times New Roman" w:eastAsiaTheme="minorEastAsia"/>
          <w:kern w:val="2"/>
          <w:sz w:val="21"/>
          <w:szCs w:val="24"/>
          <w:lang w:val="en-US" w:eastAsia="zh-CN" w:bidi="ar-SA"/>
        </w:rPr>
        <w:t>et al</w:t>
      </w:r>
      <w:r>
        <w:rPr>
          <w:rFonts w:hint="default" w:ascii="Times New Roman" w:hAnsi="Times New Roman" w:cs="Times New Roman" w:eastAsiaTheme="minorEastAsia"/>
          <w:kern w:val="2"/>
          <w:sz w:val="21"/>
          <w:szCs w:val="24"/>
          <w:lang w:val="en-US" w:eastAsia="zh-CN" w:bidi="ar-SA"/>
        </w:rPr>
        <w:t>. 2004), 2 (Amarzguioui and Prydz 2004), 3(Hseih et al. 2004), 4 (Reynolds et al. 2004)</w:t>
      </w:r>
      <w:r>
        <w:rPr>
          <w:rFonts w:hint="eastAsia" w:ascii="Times New Roman" w:hAnsi="Times New Roman" w:cs="Times New Roman"/>
          <w:kern w:val="2"/>
          <w:sz w:val="21"/>
          <w:szCs w:val="24"/>
          <w:lang w:val="en-US" w:eastAsia="zh-CN" w:bidi="ar-SA"/>
        </w:rPr>
        <w:t>)</w:t>
      </w:r>
    </w:p>
    <w:p w14:paraId="1C278A86">
      <w:pPr>
        <w:widowControl w:val="0"/>
        <w:numPr>
          <w:ilvl w:val="0"/>
          <w:numId w:val="0"/>
        </w:numPr>
        <w:ind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kern w:val="2"/>
          <w:sz w:val="21"/>
          <w:szCs w:val="24"/>
          <w:lang w:val="en-US" w:eastAsia="zh-CN" w:bidi="ar-SA"/>
        </w:rPr>
        <w:t>$</w:t>
      </w:r>
    </w:p>
    <w:p w14:paraId="4D818EC4">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lang w:val="en-US" w:eastAsia="zh-CN"/>
        </w:rPr>
        <w:t xml:space="preserve">Asymmetric thermodynamics of 5’ and 3’ ends of the RNAi duplex </w:t>
      </w:r>
    </w:p>
    <w:p w14:paraId="0DB662AF">
      <w:pPr>
        <w:rPr>
          <w:rFonts w:hint="default" w:ascii="Times New Roman" w:hAnsi="Times New Roman" w:cs="Times New Roman"/>
          <w:lang w:val="en-US" w:eastAsia="zh-CN"/>
        </w:rPr>
      </w:pPr>
      <w:r>
        <w:rPr>
          <w:rFonts w:hint="default" w:ascii="Times New Roman" w:hAnsi="Times New Roman" w:cs="Times New Roman"/>
          <w:lang w:val="en-US" w:eastAsia="zh-CN"/>
        </w:rPr>
        <w:t>The 5’ end of antisense strand should be less thermodynamically stable than the 5’ end of the sense strand, possibly influencing the bias of strand incorporation into the RISC. (Khorova et al. 2003; Schwarz et al. 2003).</w:t>
      </w:r>
    </w:p>
    <w:p w14:paraId="68318371">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2D86E712">
      <w:pPr>
        <w:rPr>
          <w:rFonts w:hint="default" w:ascii="Times New Roman" w:hAnsi="Times New Roman" w:cs="Times New Roman"/>
          <w:b/>
          <w:bCs/>
        </w:rPr>
      </w:pPr>
      <w:r>
        <w:rPr>
          <w:rFonts w:hint="default" w:ascii="Times New Roman" w:hAnsi="Times New Roman" w:cs="Times New Roman"/>
          <w:b/>
          <w:bCs/>
          <w:lang w:val="en-US" w:eastAsia="zh-CN"/>
        </w:rPr>
        <w:t xml:space="preserve">References </w:t>
      </w:r>
    </w:p>
    <w:p w14:paraId="5179A6A0">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default" w:ascii="Times New Roman" w:hAnsi="Times New Roman" w:cs="Times New Roman"/>
        </w:rPr>
      </w:pPr>
      <w:r>
        <w:rPr>
          <w:rFonts w:hint="default" w:ascii="Times New Roman" w:hAnsi="Times New Roman" w:cs="Times New Roman"/>
          <w:lang w:val="en-US" w:eastAsia="zh-CN"/>
        </w:rPr>
        <w:t xml:space="preserve">Amarzguioui, M., and H. Prydz. 2004. An algorithm for selection of functional siRNA sequences. Biochemical and Biophysical Research Communications 316:1050-1058. </w:t>
      </w:r>
    </w:p>
    <w:p w14:paraId="6A1082E0">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default" w:ascii="Times New Roman" w:hAnsi="Times New Roman" w:cs="Times New Roman"/>
        </w:rPr>
      </w:pPr>
      <w:r>
        <w:rPr>
          <w:rFonts w:hint="default" w:ascii="Times New Roman" w:hAnsi="Times New Roman" w:cs="Times New Roman"/>
          <w:lang w:val="en-US" w:eastAsia="zh-CN"/>
        </w:rPr>
        <w:t xml:space="preserve">Elbashir, S. M., J. Harborth, W. Lendeckel, A. Yalcin, K. Weber, and T. Tuschul. 2001. Duplexes of 21-nucleotide RNAs mediate RNA interference in cultured mammalian cells. Nature 411:494-498. </w:t>
      </w:r>
    </w:p>
    <w:p w14:paraId="632D434E">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default" w:ascii="Times New Roman" w:hAnsi="Times New Roman" w:cs="Times New Roman"/>
        </w:rPr>
      </w:pPr>
      <w:r>
        <w:rPr>
          <w:rFonts w:hint="default" w:ascii="Times New Roman" w:hAnsi="Times New Roman" w:cs="Times New Roman"/>
          <w:lang w:val="en-US" w:eastAsia="zh-CN"/>
        </w:rPr>
        <w:t xml:space="preserve">Hseih, A. C., R. Bo, J. Manola, F. Vazquez, O. Bare, A. Khorova, S. Scaringe, and W. R. Sellers. 2004. A library of siRNA duplexes targeting the phosphoinositide 3-kinase pathway: determinants of gene silencing for use in cell-based screens. Nucleic Acids Res. 32:893-901. </w:t>
      </w:r>
    </w:p>
    <w:p w14:paraId="28B128C4">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default" w:ascii="Times New Roman" w:hAnsi="Times New Roman" w:cs="Times New Roman"/>
        </w:rPr>
      </w:pPr>
      <w:r>
        <w:rPr>
          <w:rFonts w:hint="default" w:ascii="Times New Roman" w:hAnsi="Times New Roman" w:cs="Times New Roman"/>
          <w:lang w:val="en-US" w:eastAsia="zh-CN"/>
        </w:rPr>
        <w:t xml:space="preserve">Khorova, A., A. Reynolds, and S. D. Jayasena. 2003. Functional siRNAs and miRNAs Exhibit Strand Bias. Cell 115:209-216. </w:t>
      </w:r>
    </w:p>
    <w:p w14:paraId="08020F02">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default" w:ascii="Times New Roman" w:hAnsi="Times New Roman" w:cs="Times New Roman"/>
        </w:rPr>
      </w:pPr>
      <w:r>
        <w:rPr>
          <w:rFonts w:hint="default" w:ascii="Times New Roman" w:hAnsi="Times New Roman" w:cs="Times New Roman"/>
          <w:lang w:val="en-US" w:eastAsia="zh-CN"/>
        </w:rPr>
        <w:t xml:space="preserve">Reynolds, A., D. Leake, Q. Boese, S. Scaringe, W. S. Marshall, and A. Khorova. 2004. Rational siRNA design for RNA interference. Nature Biotechnology 22:326-330. </w:t>
      </w:r>
    </w:p>
    <w:p w14:paraId="3D5B19FD">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default" w:ascii="Times New Roman" w:hAnsi="Times New Roman" w:cs="Times New Roman"/>
        </w:rPr>
      </w:pPr>
      <w:r>
        <w:rPr>
          <w:rFonts w:hint="default" w:ascii="Times New Roman" w:hAnsi="Times New Roman" w:cs="Times New Roman"/>
          <w:lang w:val="en-US" w:eastAsia="zh-CN"/>
        </w:rPr>
        <w:t xml:space="preserve">Schwarz, D. S., G. Hutvagner, T. Du, Z. Xu, N. Aronin, and P. D. Zamore. 2003. Asymmetry in the Assembly of the RNAi Enzyme Complex. Cell 115:199-208. </w:t>
      </w:r>
    </w:p>
    <w:p w14:paraId="1E797F66">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default" w:ascii="Times New Roman" w:hAnsi="Times New Roman" w:cs="Times New Roman"/>
        </w:rPr>
      </w:pPr>
      <w:r>
        <w:rPr>
          <w:rFonts w:hint="default" w:ascii="Times New Roman" w:hAnsi="Times New Roman" w:cs="Times New Roman"/>
          <w:lang w:val="en-US" w:eastAsia="zh-CN"/>
        </w:rPr>
        <w:t>Ui-Tei, K., Y. Naito, F. Takahashi, T. Haraguchi, H. Ohki-Hamazaki, A. Juni, R. Ueda, and K. Saigo. 2004. Guidelines for the selection of highly effective siRNA sequences for mammalian and chick RNA interference. Nucleic Acids Res. 32:936-948.</w:t>
      </w:r>
    </w:p>
    <w:p w14:paraId="40D1AA1F">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TE2FE2F88t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TE2FE4828t00">
    <w:altName w:val="Segoe Print"/>
    <w:panose1 w:val="00000000000000000000"/>
    <w:charset w:val="00"/>
    <w:family w:val="auto"/>
    <w:pitch w:val="default"/>
    <w:sig w:usb0="00000000" w:usb1="00000000" w:usb2="00000000" w:usb3="00000000" w:csb0="00000000" w:csb1="00000000"/>
  </w:font>
  <w:font w:name="TTE2FE2AA8t00">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47D9B"/>
    <w:multiLevelType w:val="singleLevel"/>
    <w:tmpl w:val="A0247D9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886840"/>
    <w:rsid w:val="11553800"/>
    <w:rsid w:val="12F14123"/>
    <w:rsid w:val="13DD3758"/>
    <w:rsid w:val="176644DB"/>
    <w:rsid w:val="18B42FAD"/>
    <w:rsid w:val="18B44D3D"/>
    <w:rsid w:val="190A5E32"/>
    <w:rsid w:val="1A8F4357"/>
    <w:rsid w:val="1D731DCB"/>
    <w:rsid w:val="29C17E10"/>
    <w:rsid w:val="2BA77B9F"/>
    <w:rsid w:val="36085CF8"/>
    <w:rsid w:val="36541A28"/>
    <w:rsid w:val="37F5446B"/>
    <w:rsid w:val="3DD4297E"/>
    <w:rsid w:val="44A8366B"/>
    <w:rsid w:val="4B154FAA"/>
    <w:rsid w:val="4B7818BD"/>
    <w:rsid w:val="4D5C6913"/>
    <w:rsid w:val="52903990"/>
    <w:rsid w:val="67D66668"/>
    <w:rsid w:val="6D6C0E2A"/>
    <w:rsid w:val="72435BBC"/>
    <w:rsid w:val="726C7FC6"/>
    <w:rsid w:val="77642B72"/>
    <w:rsid w:val="786120E9"/>
    <w:rsid w:val="7979151E"/>
    <w:rsid w:val="7AE44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2025-12-18T03:25:05Z</dcterms:created>
  <dc:creator>DELL</dc:creator>
  <cp:lastModifiedBy>李宗桓</cp:lastModifiedBy>
  <dcterms:modified xsi:type="dcterms:W3CDTF">2025-12-18T03:56:46Z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AA0F6EBCBF70443B8C2941E1B89E79CA_12</vt:lpwstr>
  </property>
</Properties>
</file>