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89A71">
      <w:pP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{}</w:t>
      </w:r>
    </w:p>
    <w:p w14:paraId="049A74B5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$</w:t>
      </w:r>
    </w:p>
    <w:p w14:paraId="59EC8D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i-Score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 xml:space="preserve"> - Raw</w:t>
      </w: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 xml:space="preserve"> Article Summary</w:t>
      </w:r>
    </w:p>
    <w:p w14:paraId="5820A703">
      <w:pPr>
        <w:pStyle w:val="2"/>
        <w:spacing w:before="0" w:after="0" w:line="240" w:lineRule="auto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Tool Name: </w:t>
      </w:r>
      <w:r>
        <w:rPr>
          <w:rFonts w:hint="default" w:ascii="Times New Roman" w:hAnsi="Times New Roman" w:cs="Times New Roman"/>
          <w:b w:val="0"/>
          <w:bCs/>
          <w:sz w:val="21"/>
          <w:szCs w:val="21"/>
        </w:rPr>
        <w:t>i-Score (inhibitory-Score)</w:t>
      </w:r>
    </w:p>
    <w:p w14:paraId="7534388F">
      <w:pPr>
        <w:pStyle w:val="2"/>
        <w:spacing w:before="0" w:after="0" w:line="240" w:lineRule="auto"/>
        <w:jc w:val="both"/>
        <w:rPr>
          <w:rFonts w:hint="default" w:ascii="Times New Roman" w:hAnsi="Times New Roman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1"/>
          <w:szCs w:val="21"/>
          <w:u w:val="none"/>
          <w:lang w:val="en-US" w:eastAsia="zh-CN"/>
        </w:rPr>
        <w:t>Developer/Unit:</w:t>
      </w: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1"/>
          <w:szCs w:val="21"/>
        </w:rPr>
        <w:t>Masatoshi Ichihara et al. (Chubu University &amp; Nagoya University Graduate School of Medicine, Japan)</w:t>
      </w:r>
    </w:p>
    <w:p w14:paraId="392F7F61">
      <w:pPr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1"/>
          <w:lang w:val="en-US" w:eastAsia="zh-CN"/>
        </w:rPr>
        <w:t>$</w:t>
      </w:r>
    </w:p>
    <w:p w14:paraId="6AF460B3"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Core Principles:</w:t>
      </w:r>
      <w:bookmarkStart w:id="0" w:name="_GoBack"/>
      <w:bookmarkEnd w:id="0"/>
    </w:p>
    <w:p w14:paraId="1C6375D1"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·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 xml:space="preserve">Linear Regression Model: </w:t>
      </w:r>
    </w:p>
    <w:p w14:paraId="21CF2690">
      <w:pPr>
        <w:ind w:left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Developed by applying a linear regression model to a large dataset of 2431 siRNAs to determine nucleotide preference scores at each position of a 19-nt siRNA duplex.</w:t>
      </w:r>
    </w:p>
    <w:p w14:paraId="2FE38D47">
      <w:pPr>
        <w:ind w:left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Position-Specific Scoring: The algorithm assigns scores based solely on which nucleotide (A, U, G, C) appears at each of the 19 positions, reflecting empirically observed preferences for effective siRNAs.</w:t>
      </w:r>
    </w:p>
    <w:p w14:paraId="43D1D486"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·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 xml:space="preserve">Thermodynamic Stability Filter: </w:t>
      </w:r>
    </w:p>
    <w:p w14:paraId="2D9E7C7B">
      <w:pPr>
        <w:ind w:left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 key finding is that siRNA duplex thermodynamic stability, represented by the whole ΔG value (stacking energy), is critical for reliable prediction. The study recommends excluding highly thermostable siRNAs (whole ΔG &lt; -34.6 kcal/mol) to significantly improve prediction accuracy.</w:t>
      </w:r>
    </w:p>
    <w:p w14:paraId="27C53CAC">
      <w:pP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·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 xml:space="preserve">Validation System: </w:t>
      </w:r>
    </w:p>
    <w:p w14:paraId="55E3CC1C">
      <w:pPr>
        <w:ind w:left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team developed a dual-vector experimental validation system (pSELL target vector + pDual effector vector) to conveniently test predicted siRNAs.</w:t>
      </w:r>
    </w:p>
    <w:p w14:paraId="45C60A22">
      <w:pP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$</w:t>
      </w:r>
    </w:p>
    <w:p w14:paraId="59671F2F"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Advantages:</w:t>
      </w:r>
    </w:p>
    <w:p w14:paraId="322E84A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Simplicity &amp; Transparency: Algorithm is straightforward, based only on position-specific nucleotide scores, making it easy to understand and trace compared to "black-box" neural network models (e.g., Biopredsi).</w:t>
      </w:r>
    </w:p>
    <w:p w14:paraId="3457233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High Yield of Predictions: At a ~90% success rate threshold, i-Score can predict at least 8 times more potentially active siRNA candidates than first-generation algorithms (e.g., Reynolds, Katoh).</w:t>
      </w:r>
    </w:p>
    <w:p w14:paraId="7C46BF8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Comparable Accuracy: Prediction accuracy (correlation with experimental data) is as good as other contemporary second-generation algorithms (s-Biopredsi, ThermoComposition21, DSIR).</w:t>
      </w:r>
    </w:p>
    <w:p w14:paraId="63B2FB7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Integrated Designer Tool: The provided i-Score designer (Excel VBA) calculates scores for 11 different siRNA design algorithms and key parameters (like whole ΔG), allowing cross-comparison within one platform.</w:t>
      </w:r>
    </w:p>
    <w:p w14:paraId="731F2CB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Universal Validation Method: The pSELL/pDual vector system offers a cost-effective and flexible way to experimentally validate siRNA activity for any sequence.</w:t>
      </w:r>
    </w:p>
    <w:p w14:paraId="61E5D68E">
      <w:pP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$</w:t>
      </w:r>
    </w:p>
    <w:p w14:paraId="41F16C9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Limitations:</w:t>
      </w:r>
    </w:p>
    <w:p w14:paraId="33224D0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Primarily for Synthetic siRNA: The algorithm is trained and optimized for chemically synthesized siRNA duplexes, not specifically for DNA vector-based siRNA or siRNA cassette design.</w:t>
      </w:r>
    </w:p>
    <w:p w14:paraId="16338AE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Limited by Thermodynamic Stability: The algorithm cannot accurately predict the activity of highly thermostable siRNA duplexes (low whole ΔG), which represents a class of siRNAs where current design rules fail.</w:t>
      </w:r>
    </w:p>
    <w:p w14:paraId="580AE43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Potential for Overfitting: Like DSIR, i-Score's performance on its training dataset (Dataset A) is better than on independent validation sets, suggesting possible overfitting to the specific dataset used for development.</w:t>
      </w:r>
    </w:p>
    <w:p w14:paraId="4BEA9AC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Model Simplicity: Relying only on positional nucleotide preferences may overlook other complex sequence or structural features that influence siRNA efficacy.</w:t>
      </w:r>
    </w:p>
    <w:p w14:paraId="795B2E55">
      <w:pPr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$</w:t>
      </w:r>
    </w:p>
    <w:p w14:paraId="72F23515">
      <w:pPr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{}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24413F"/>
    <w:rsid w:val="2C3F712F"/>
    <w:rsid w:val="33B26438"/>
    <w:rsid w:val="696C0C58"/>
    <w:rsid w:val="7EA3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382</Words>
  <Characters>2462</Characters>
  <Lines>0</Lines>
  <Paragraphs>0</Paragraphs>
  <TotalTime>0</TotalTime>
  <ScaleCrop>false</ScaleCrop>
  <LinksUpToDate>false</LinksUpToDate>
  <CharactersWithSpaces>2822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2025-12-15T08:58:00Z</dcterms:created>
  <dc:creator>DELL</dc:creator>
  <cp:lastModifiedBy>李宗桓</cp:lastModifiedBy>
  <dcterms:modified xsi:type="dcterms:W3CDTF">2025-12-16T07:26:37Z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1C47C33E2889454EB472D542D2DB310D_12</vt:lpwstr>
  </property>
</Properties>
</file>