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Security Configuration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Salesforce Event Monitoring and Transaction Security Policies (TSP)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**Organization:** CDW (US, Canada, UK)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**Version:** 1.0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**Effective Date:** February 24,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**Owner:** Business Security Services (Global Information Security - Corporate Business)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**Classification:** Internal Use Only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Executive 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baseline defines minimum required Salesforce security configuration for Event Monitoring and Transaction Security Policies (TSP) across CDW US, Canada, and UK orgs.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Common operating model: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baseline controls are defined per control ID,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 telemetry is continuously monitored through enterprise data pipelines,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drift from baseline is detected and triaged,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status is reported through dashboards for operational and governance decisions.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SaaS Security Pillars (Primary Anchor)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baseline is designed around SaaS security pillars, with CSA SSCF as the foundational control framework.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SaaS Security Pillar | What It Means in This Baseline | CSA SSCF Alignment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Identity and Access Security | Detect and prevent unauthorized access, impersonation, privilege abuse | IAM, Access Control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Data Protection and Exfiltration Control | Detect/block risky exports, API extraction, and large file movement | Data Security, DLP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Threat Detection and Response | Real-time policies and alerting for suspicious behavior | Monitoring, Threat Detection and Response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Configuration and Change Governance | Detect risky admin/config changes and enforce change windows | Change/Configuration Management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Assurance, Auditability, and Compliance | Evidence-driven control operation and exception governance | Governance, Risk, Compliance, Auditability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Governance and Roles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Role | Responsibility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Salesforce Platform Owner | Approves configuration changes and operating readiness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Salesforce Administrator Team | Implements and maintains Event Monitoring and TSP settings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Business Security Services | Owns baseline requirements, risk acceptance, and exception approvals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Security Operations Monitoring Team | Monitors alerts, triages incidents, and drives remediation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Data Engineering | Maintains pipeline reliability and dashboard data quality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GRC and Audit | Validates evidence and compliance posture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Event Monitoring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 Platform Enablement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 / Setting | Required Value | Risk | Evidence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Salesforce Shield / Event Monitoring | Enabled in all production orgs | Critical | License + setup evidence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log retention | Minimum 30 days in platform; target 365 days in monitoring storage | High | Retention policy + storage evidence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Real-Time Event Monitoring | Enabled | High | RTEM policy inventory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SIEM/data forwarding | Enabled to central monitoring and control pipeline | Critical | Pipeline health + dashboard status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Monitoring Analytics | Enabled for security/admin workflows | Medium | Deployment evidence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4.2 Required Event Types and Thresholds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Type | Security Use Case | Priority | Baseline Threshold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LoginEvent | Credential abuse, brute force, impossible travel | Critical | 5 failed logins / 10 min / source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LoginAsEvent | Unauthorized impersonation | Critical | Any occurrence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ReportEvent | Mass data access | High | &gt;5,000 rows/session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ReportExportEvent | Data exfiltration via export | Critical | Any export by non-approved role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ApiEvent | API abuse and scripted extraction | High | &gt;10,000 records/session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PermissionSetEvent | Privilege escalation | Critical | Any privileged assignment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SetupAuditTrailEvent | Risky configuration change | High | Any change outside approved window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BulkApiResultEvent | Bulk extraction/upsert anomalies | High | &gt;50,000 records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ContentDocumentLinkEvent | Sensitive file mass activity | Medium | &gt;50 files/hour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SearchEvent | PII/sensitive record harvesting | Medium | &gt;200 searches/hour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Transaction Security Policy (TSP)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Required TSPs (Enabled in Production)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Name | Event Type | Action | Priority | Baseline Logic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Block Mass Report Export | ReportEvent | Block + Notify | Critical | rows_downloaded &gt; 5000 and role not allowlisted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Block API Bulk Extract | ApiEvent | Block + Notify | Critical | queryRows &gt; 10000 per session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Notify Privilege Escalation | PermissionSetEvent | Notify + Case | Critical | Any privileged set assignment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Block Untrusted Country Login | LoginEvent | Block + Notify | High | country not in approved geo list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Alert After-Hours Admin Change | SetupAuditTrailEvent | Notify + Case | High | admin change outside approved window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Block Unauthorized LoginAs | LoginAsEvent | Block + Notify | Critical | actor not in approved impersonator list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Alert High Anomaly Score | LoginAnomalyEvent | Notify | High | score &gt;= 75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TSP Operational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Control | Required Value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TSP state | Enabled in production; no disabled policy without approved exception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Critical policy action | Block, not notify-only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Alert destination | Security monitoring channel + incident queue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Deployment process | Sandbox test, peer review, change approval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Log retention | TSP execution/audit logs retained minimum 1 year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Exception window | Maximum 90 days with compensating controls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UK and Canada Regulatory Overlay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section maps UK/CAN regulatory requirements into baseline operation.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Jurisdiction | Regulatory Requirement | Baseline Implementation | Dashboard/KPI Evidence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UK | UK GDPR security principle + Article 32 (appropriate technical and organisational measures) | Mandatory monitoring for authentication, admin changes, privilege changes, and exfiltration events; blocking policies for high-risk actions | Control conformance score by UK org; critical drift aging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UK | UK restricted transfer obligations and safeguards where applicable | Monitor transfer-related access patterns and geo anomalies; enforce approved transfer paths | Geo-policy violation trend; transfer exception closure SLA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Canada (Federal) | PIPEDA safeguards/accountability principles | Control ownership, event visibility, and retention tied to accountable remediation | Control owner completeness; unresolved control drift by age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Canada (Federal) | PIPEDA breach reporting + recordkeeping expectations | Ensure logs and policy events are retained and queryable for incident determination and reporting workflows | Breach evidence completeness and response timeliness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Québec (where applicable) | Loi 25 transfer/privacy impact assessment expectations for data moving outside Québec | Policy gate for Québec-relevant transfer changes and documented impact assessment workflow | PIA completion status; Québec transfer exceptions and approvals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Continuous Monitoring, Drift, and Dashboard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Capability | Requirement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Baseline state model | Expected control values per control ID and region (US/CAN/UK)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Drift detection | Detect non-compliant values, disabled controls, missing telemetry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Severity model | Critical/High/Medium/Low with remediation SLA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Dashboard views | Executive summary, control owner view, regional compliance view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Reporting cadence | Daily operational, weekly tactical, monthly governance, quarterly formal review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Operational Cadence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Frequency | Activity |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Daily | Verify ingestion freshness, drift detections, alerting health | Security Operations Monitoring + Data Engineering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Weekly | Review dashboard metrics and tune thresholds | Business Security Services + Salesforce Admin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Monthly | Validate conformance and evidence package | Salesforce Admin + GRC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Quarterly | Formal baseline review including UK/CAN overlay | Business Security Services + GRC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Post-Incident | Gap analysis and baseline hardening update | Incident stakeholders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Minimum Evidence Artifacts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 Monitoring enablement evidence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TSP enabled policy export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Pipeline run history and freshness report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Drift dashboard snapshots (severity, region,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Monthly/quarterly review records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Exception approvals and closure evidence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Salesforce Security Implementation Guide: https://help.salesforce.com/s/articleView?id=sf.security_impl_guide.htm&amp;type=5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Salesforce Event Monitoring and Real-Time Event Monitoring docs: https://developer.salesforce.com/docs/atlas.en-us.api_rest.meta/api_rest/event_monitoring.htm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Salesforce Transaction Security docs: https://help.salesforce.com/s/articleView?id=sf.security_transaction_security.htm&amp;type=5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CSA SSCF overview: https://cloudsecurityalliance.org/artifacts/saas-security-controls-framework-sscf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UK ICO, A guide to data security: https://ico.org.uk/for-organisations/uk-gdpr-guidance-and-resources/security/a-guide-to-data-security/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UK ICO, International transfers guidance: https://ico.org.uk/for-organisations/uk-gdpr-guidance-and-resources/international-transfers/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UK Data Protection Act 2018: https://www.legislation.gov.uk/ukpga/2018/12/contents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OPC Canada, PIPEDA requirements in brief: https://www.priv.gc.ca/en/privacy-topics/privacy-laws-in-canada/the-personal-information-protection-and-electronic-documents-act-pipeda/pipeda_brief/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OPC Canada, PIPEDA Principle 7 Safeguards: https://www.priv.gc.ca/en/privacy-topics/privacy-laws-in-canada/the-personal-information-protection-and-electronic-documents-act-pipeda/p_principle/principles/p_safeguards/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OPC Canada, mandatory breach reporting guidance: https://www.priv.gc.ca/en/privacy-topics/business-privacy/breaches-and-safeguards/privacy-breaches-at-your-business/gd_pb_201810/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Government of Canada, Breach of Security Safeguards Regulations (SOR/2018-64): https://gazette.gc.ca/rp-pr/p2/2018/2018-04-18/html/sor-dors64-eng.html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Commission d’accès à l’information du Québec, Loi 25 key changes: https://www.cai.gouv.qc.ca/protection-renseignements-personnels/sujets-et-domaines-dinteret/principaux-changements-loi-25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Change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Version | Date | Change Summary | Author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1.0 | 2026-02-24 | Reframed around SaaS Security Pillars + CSA SSCF; added UK/CAN regulatory overlay and references; retained Event Monitoring + TSP baseline scope | Codex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