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Regulatory, Clinical Safety &amp; Data Privacy Compliance Audit</w:t>
      </w:r>
    </w:p>
    <w:p>
      <w:r>
        <w:t>Target System: LifeMetrics Ambient Intelligence System</w:t>
      </w:r>
    </w:p>
    <w:p>
      <w:r>
        <w:t>Authors:</w:t>
      </w:r>
    </w:p>
    <w:p>
      <w:pPr>
        <w:pStyle w:val="ListBullet"/>
      </w:pPr>
      <w:r>
        <w:t xml:space="preserve">  Amani Wanjiru, Security &amp; Compliance Reviewer</w:t>
      </w:r>
    </w:p>
    <w:p>
      <w:pPr>
        <w:pStyle w:val="ListBullet"/>
      </w:pPr>
      <w:r>
        <w:t xml:space="preserve">  Renata Cruz, Data Privacy Engineer</w:t>
      </w:r>
    </w:p>
    <w:p>
      <w:r>
        <w:t>Target Audience: Clinical Safety Officers, DPOs, Executive Leadership</w:t>
      </w:r>
    </w:p>
    <w:p>
      <w:r>
        <w:t>Reviewers: Sade (Product Strategy), Arjun Mehta (Solution Architecture)</w:t>
      </w:r>
    </w:p>
    <w:p>
      <w:r>
        <w:t>Date: Tuesday, 23 June 2026</w:t>
      </w:r>
    </w:p>
    <w:p>
      <w:r>
        <w:t>Version: 1.1.0</w:t>
      </w:r>
    </w:p>
    <w:p>
      <w:r>
        <w:t>Status: Approved Compliance Specification</w:t>
      </w:r>
    </w:p>
    <w:p>
      <w:r>
        <w:t>---</w:t>
      </w:r>
    </w:p>
    <w:p>
      <w:pPr>
        <w:pStyle w:val="Heading2"/>
      </w:pPr>
      <w:r>
        <w:t>1. Executive Summary &amp; Audit Scope</w:t>
      </w:r>
    </w:p>
    <w:p>
      <w:r>
        <w:t>This audit outlines the regulatory, clinical safety, and data privacy framework required to deploy the LifeMetric Ambient Intelligence System in independent elderly care facilities and NHS clinical virtual wards.</w:t>
      </w:r>
    </w:p>
    <w:p>
      <w:r>
        <w:t>By utilizing passive, camera-free mmWave radar, LWIR thermal grids, and acoustic micro-signals, the system solves the "Privacy Paradox" at the hardware level. To optimize time-to-market, the regulatory roadmap for Version 1 is strictly scoped to the United Kingdom care market, utilizing a UKCA Class I self-declaration pathway for assistive technology alongside NHS DCB0129 clinical safety and DSPT data security compliance. US FDA Class II medical device certification (under 21 CFR 870.2300) and HIPAA compliance are deferred to Version 2. This focused strategy allows the platform to accumulate real-world clinical performance data from UK virtual wards to support the future US 510(k) Pre-Market Notification.</w:t>
      </w:r>
    </w:p>
    <w:p>
      <w:r>
        <w:t>---</w:t>
      </w:r>
    </w:p>
    <w:p>
      <w:pPr>
        <w:pStyle w:val="Heading2"/>
      </w:pPr>
      <w:r>
        <w:t>2. Clinical Safety Framework: UK NHS DCB0129 Compliance</w:t>
      </w:r>
    </w:p>
    <w:p>
      <w:r>
        <w:t>Author: Amani Wanjiru</w:t>
      </w:r>
    </w:p>
    <w:p>
      <w:r>
        <w:t>In the United Kingdom, any health-tech software deployed within health or social care environments must comply with DCB0129 (Clinical Safety Risk Management System).</w:t>
      </w:r>
    </w:p>
    <w:p>
      <w:pPr>
        <w:pStyle w:val="Heading3"/>
      </w:pPr>
      <w:r>
        <w:t>2.1 Clinical Safety Management System (CSMS)</w:t>
      </w:r>
    </w:p>
    <w:p>
      <w:r>
        <w:t>To meet NHS mandates, LifeMetric must appoint a registered clinician as a Clinical Safety Officer (CSO) to establish and oversee the CSMS.</w:t>
      </w:r>
    </w:p>
    <w:p>
      <w:pPr>
        <w:pStyle w:val="ListNumber"/>
      </w:pPr>
      <w:r>
        <w:t>1.  Risk Analysis &amp; Risk Hazard Log: The CSO must maintain a live, rolling Clinical Risk Hazard Log.</w:t>
      </w:r>
    </w:p>
    <w:p>
      <w:pPr>
        <w:pStyle w:val="ListNumber"/>
      </w:pPr>
      <w:r>
        <w:t>2.  Clinical Safety Case Report (CSCR): Prior to deployment, a CSCR must be compiled and submitted to NHS commissioners, detailing the mitigations of all identified clinical safety hazards.</w:t>
      </w:r>
    </w:p>
    <w:p>
      <w:pPr>
        <w:pStyle w:val="Heading3"/>
      </w:pPr>
      <w:r>
        <w:t>2.2 Key Risk Hazard Log &amp; Engineering Mitigations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Hazard ID</w:t>
            </w:r>
          </w:p>
        </w:tc>
        <w:tc>
          <w:tcPr>
            <w:tcW w:type="dxa" w:w="2160"/>
          </w:tcPr>
          <w:p>
            <w:r>
              <w:t>Clinical Hazard</w:t>
            </w:r>
          </w:p>
        </w:tc>
        <w:tc>
          <w:tcPr>
            <w:tcW w:type="dxa" w:w="2160"/>
          </w:tcPr>
          <w:p>
            <w:r>
              <w:t>Severity</w:t>
            </w:r>
          </w:p>
        </w:tc>
        <w:tc>
          <w:tcPr>
            <w:tcW w:type="dxa" w:w="2160"/>
          </w:tcPr>
          <w:p>
            <w:r>
              <w:t>Mitigation Strategy</w:t>
            </w:r>
          </w:p>
        </w:tc>
      </w:tr>
      <w:tr>
        <w:tc>
          <w:tcPr>
            <w:tcW w:type="dxa" w:w="2160"/>
          </w:tcPr>
          <w:p>
            <w:r>
              <w:t>CL-HZ.1</w:t>
            </w:r>
          </w:p>
        </w:tc>
        <w:tc>
          <w:tcPr>
            <w:tcW w:type="dxa" w:w="2160"/>
          </w:tcPr>
          <w:p>
            <w:r>
              <w:t>False Negative (Unreported Fall): System fails to detect an actual fall, leading to delayed medical intervention ("The Long-Lie").</w:t>
            </w:r>
          </w:p>
        </w:tc>
        <w:tc>
          <w:tcPr>
            <w:tcW w:type="dxa" w:w="2160"/>
          </w:tcPr>
          <w:p>
            <w:r>
              <w:t>Critical</w:t>
            </w:r>
          </w:p>
        </w:tc>
        <w:tc>
          <w:tcPr>
            <w:tcW w:type="dxa" w:w="2160"/>
          </w:tcPr>
          <w:p>
            <w:r>
              <w:t>Implement Multi-Modal Sensor-Fusion. mmWave posture trajectory validation (IWR6843AOP) is cross-referenced in-memory on the ESP32-S3 with secondary MLX90640 thermal centroids and MEMS acoustic thud frequencies ($20\text{Hz}$–$200\text{Hz}$), maintaining sensitivity $&gt;90\%$.</w:t>
            </w:r>
          </w:p>
        </w:tc>
      </w:tr>
      <w:tr>
        <w:tc>
          <w:tcPr>
            <w:tcW w:type="dxa" w:w="2160"/>
          </w:tcPr>
          <w:p>
            <w:r>
              <w:t>CL-HZ.2</w:t>
            </w:r>
          </w:p>
        </w:tc>
        <w:tc>
          <w:tcPr>
            <w:tcW w:type="dxa" w:w="2160"/>
          </w:tcPr>
          <w:p>
            <w:r>
              <w:t>False Positive (Alert Fatigue): High volume of false fall alerts (caused by falling water, steam, or pet movements) causes nursing staff to disable alerts.</w:t>
            </w:r>
          </w:p>
        </w:tc>
        <w:tc>
          <w:tcPr>
            <w:tcW w:type="dxa" w:w="2160"/>
          </w:tcPr>
          <w:p>
            <w:r>
              <w:t>High</w:t>
            </w:r>
          </w:p>
        </w:tc>
        <w:tc>
          <w:tcPr>
            <w:tcW w:type="dxa" w:w="2160"/>
          </w:tcPr>
          <w:p>
            <w:r>
              <w:t>Apply background environmental clutter subtraction during local calibration. Use MLX90640 thermal mapping (32x24 grid) to isolate and reject biological heat centroids representing pets. Lower-resolution 8x8 thermal sensors are excluded.</w:t>
            </w:r>
          </w:p>
        </w:tc>
      </w:tr>
      <w:tr>
        <w:tc>
          <w:tcPr>
            <w:tcW w:type="dxa" w:w="2160"/>
          </w:tcPr>
          <w:p>
            <w:r>
              <w:t>CL-HZ.3</w:t>
            </w:r>
          </w:p>
        </w:tc>
        <w:tc>
          <w:tcPr>
            <w:tcW w:type="dxa" w:w="2160"/>
          </w:tcPr>
          <w:p>
            <w:r>
              <w:t>Latency-Driven Fall Alert Lag: Alert arrives at caregivers' badges $&gt;5$ seconds post-fall, rendering predictive interventions useless.</w:t>
            </w:r>
          </w:p>
        </w:tc>
        <w:tc>
          <w:tcPr>
            <w:tcW w:type="dxa" w:w="2160"/>
          </w:tcPr>
          <w:p>
            <w:r>
              <w:t>High</w:t>
            </w:r>
          </w:p>
        </w:tc>
        <w:tc>
          <w:tcPr>
            <w:tcW w:type="dxa" w:w="2160"/>
          </w:tcPr>
          <w:p>
            <w:r>
              <w:t>Enforce a strict $&lt;200\text{ms}$ low-latency edge-to-cloud signaling pipeline, utilizing the ESP32-S3 (with point-cloud processing executed on-chip on the IWR6843AOP), binary Protobuf payloads, and AWS RDS Proxy connection pooling.</w:t>
            </w:r>
          </w:p>
        </w:tc>
      </w:tr>
      <w:tr>
        <w:tc>
          <w:tcPr>
            <w:tcW w:type="dxa" w:w="2160"/>
          </w:tcPr>
          <w:p>
            <w:r>
              <w:t>CL-HZ.4</w:t>
            </w:r>
          </w:p>
        </w:tc>
        <w:tc>
          <w:tcPr>
            <w:tcW w:type="dxa" w:w="2160"/>
          </w:tcPr>
          <w:p>
            <w:r>
              <w:t>Monitoring Blind Spot during Onboarding: Resident falls during the initial 48-hour room calibration phase when monitoring is traditionally disabled.</w:t>
            </w:r>
          </w:p>
        </w:tc>
        <w:tc>
          <w:tcPr>
            <w:tcW w:type="dxa" w:w="2160"/>
          </w:tcPr>
          <w:p>
            <w:r>
              <w:t>High</w:t>
            </w:r>
          </w:p>
        </w:tc>
        <w:tc>
          <w:tcPr>
            <w:tcW w:type="dxa" w:w="2160"/>
          </w:tcPr>
          <w:p>
            <w:r>
              <w:t>Implement "Heuristic Fallback Mode". The device actively monitors for falls from the moment of power-on using conservative static thresholds, raising alerts marked with a "Reduced Confidence" metadata flag.</w:t>
            </w:r>
          </w:p>
        </w:tc>
      </w:tr>
    </w:tbl>
    <w:p>
      <w:r>
        <w:t>---</w:t>
      </w:r>
    </w:p>
    <w:p>
      <w:pPr>
        <w:pStyle w:val="Heading2"/>
      </w:pPr>
      <w:r>
        <w:t>3. Scoped Regulatory Launch Roadmap</w:t>
      </w:r>
    </w:p>
    <w:p>
      <w:r>
        <w:t>Author: Amani Wanjiru</w:t>
      </w:r>
    </w:p>
    <w:p>
      <w:r>
        <w:t>The regulatory strategy employs a phased approach to manage development complexity and minimize clinical trial costs.</w:t>
      </w:r>
    </w:p>
    <w:p>
      <w:pPr>
        <w:pStyle w:val="Heading3"/>
      </w:pPr>
      <w:r>
        <w:t>3.1 Phase 1: United Kingdom Launch (Version 1 Focus)</w:t>
      </w:r>
    </w:p>
    <w:p>
      <w:r>
        <w:t>To achieve rapid commercial entry, Version 1 is scoped strictly for UK deployments:</w:t>
      </w:r>
    </w:p>
    <w:p>
      <w:pPr>
        <w:pStyle w:val="ListBullet"/>
      </w:pPr>
      <w:r>
        <w:t xml:space="preserve">  UKCA Class I Self-Declaration: Positioned as a passive, non-invasive assistive and wellness monitoring system rather than an active diagnostic system. This provides a direct self-declaration pathway for UKCA marking.</w:t>
      </w:r>
    </w:p>
    <w:p>
      <w:pPr>
        <w:pStyle w:val="ListBullet"/>
      </w:pPr>
      <w:r>
        <w:t xml:space="preserve">  NHS Clinical Safety Standards (DCB0129 / DCB0160): Undergo clinical safety risk reviews, appointing a Clinical Safety Officer to approve the Clinical Safety Case Report.</w:t>
      </w:r>
    </w:p>
    <w:p>
      <w:pPr>
        <w:pStyle w:val="ListBullet"/>
      </w:pPr>
      <w:r>
        <w:t xml:space="preserve">  NHS Data Security and Protection Toolkit (DSPT): Self-assess against the NHS DSPT requirements to prove organizational compliance with secure data processing.</w:t>
      </w:r>
    </w:p>
    <w:p>
      <w:pPr>
        <w:pStyle w:val="ListBullet"/>
      </w:pPr>
      <w:r>
        <w:t xml:space="preserve">  Clinical Baseline Vitals: Passive measurement of Heart Rate (clinical agreement of ±6.4 bpm) and Respiratory Rate (clinical agreement of ±2.3 breaths/minute) are stored and synchronized strictly as trend and wellness observations rather than ICU-grade diagnostic metrics.</w:t>
      </w:r>
    </w:p>
    <w:p>
      <w:pPr>
        <w:pStyle w:val="Heading3"/>
      </w:pPr>
      <w:r>
        <w:t>3.2 Phase 2: United States &amp; FDA Expansion (Deferred)</w:t>
      </w:r>
    </w:p>
    <w:p>
      <w:r>
        <w:t>Following successful UK deployment and compilation of a 500+ patient-year safety registry, LifeMetric will pursue the US clinical market:</w:t>
      </w:r>
    </w:p>
    <w:p>
      <w:pPr>
        <w:pStyle w:val="ListBullet"/>
      </w:pPr>
      <w:r>
        <w:t xml:space="preserve">  Regulatory Classification Mapping:</w:t>
      </w:r>
    </w:p>
    <w:p>
      <w:pPr>
        <w:pStyle w:val="ListBullet"/>
      </w:pPr>
      <w:r>
        <w:t xml:space="preserve">  Classification Name: Cardiac/Respiration Rate Monitor (Passive).</w:t>
      </w:r>
    </w:p>
    <w:p>
      <w:pPr>
        <w:pStyle w:val="ListBullet"/>
      </w:pPr>
      <w:r>
        <w:t xml:space="preserve">  Regulation Number: 21 CFR 870.2300 (Software as a Medical Device).</w:t>
      </w:r>
    </w:p>
    <w:p>
      <w:pPr>
        <w:pStyle w:val="ListBullet"/>
      </w:pPr>
      <w:r>
        <w:t xml:space="preserve">  Product Code: MJO / DRG.</w:t>
      </w:r>
    </w:p>
    <w:p>
      <w:pPr>
        <w:pStyle w:val="ListBullet"/>
      </w:pPr>
      <w:r>
        <w:t xml:space="preserve">  Device Class: Class II (Special Controls).</w:t>
      </w:r>
    </w:p>
    <w:p>
      <w:pPr>
        <w:pStyle w:val="ListBullet"/>
      </w:pPr>
      <w:r>
        <w:t xml:space="preserve">  Pathway: Pre-Market Notification [510(k)] demonstrating substantial equivalence to an existing predicate device, or De Novo request.</w:t>
      </w:r>
    </w:p>
    <w:p>
      <w:pPr>
        <w:pStyle w:val="ListBullet"/>
      </w:pPr>
      <w:r>
        <w:t xml:space="preserve">  FDA Compliance Requirements:</w:t>
      </w:r>
    </w:p>
    <w:p>
      <w:pPr>
        <w:pStyle w:val="ListBullet"/>
      </w:pPr>
      <w:r>
        <w:t xml:space="preserve">  ISO 13485 QMS Alignment: Align development and supply chain processes with ISO 13485 (Medical Devices - Quality Management Systems).</w:t>
      </w:r>
    </w:p>
    <w:p>
      <w:pPr>
        <w:pStyle w:val="ListBullet"/>
      </w:pPr>
      <w:r>
        <w:t xml:space="preserve">  Clinical Validation Trials: Conduct clinical validation trials with a cohort of at least 150 participants to validate the accuracy of contactless vitals against gold-standard contact ECG and spirometry.</w:t>
      </w:r>
    </w:p>
    <w:p>
      <w:pPr>
        <w:pStyle w:val="ListBullet"/>
      </w:pPr>
      <w:r>
        <w:t xml:space="preserve">  Human Factors &amp; Usability (ANSI/AAMI HE75): Document usability testing to prove that clinical staff can interpret the "Actionable Wellbeing Summaries" dashboard without risk of clinical misinterpretation.</w:t>
      </w:r>
    </w:p>
    <w:p>
      <w:r>
        <w:t>---</w:t>
      </w:r>
    </w:p>
    <w:p>
      <w:pPr>
        <w:pStyle w:val="Heading2"/>
      </w:pPr>
      <w:r>
        <w:t>4. Global Data Privacy Compliance</w:t>
      </w:r>
    </w:p>
    <w:p>
      <w:r>
        <w:t>Author: Renata Cruz</w:t>
      </w:r>
    </w:p>
    <w:p>
      <w:pPr>
        <w:pStyle w:val="Heading3"/>
      </w:pPr>
      <w:r>
        <w:t>4.1 GDPR / UK GDPR Compliance Boundary</w:t>
      </w:r>
    </w:p>
    <w:p>
      <w:r>
        <w:t>LifeMetric processes special category health data under the General Data Protection Regulation (GDPR) Article 9.</w:t>
      </w:r>
    </w:p>
    <w:p>
      <w:pPr>
        <w:pStyle w:val="ListNumber"/>
      </w:pPr>
      <w:r>
        <w:t>1.  Data Minimization (GDPR Article 5): The system implements data minimization by design. Because the IWR6843AOP mmWave radar and MLX90640 LWIR sensors generate unstructured point-clouds and low-res grid arrays rather than identifiable optical images or video, no biometric PII is ever recorded, stored, or transmitted.</w:t>
      </w:r>
    </w:p>
    <w:p>
      <w:pPr>
        <w:pStyle w:val="ListNumber"/>
      </w:pPr>
      <w:r>
        <w:t>2.  Lawful Basis for Processing (Articles 6 &amp; 9):</w:t>
      </w:r>
    </w:p>
    <w:p>
      <w:pPr>
        <w:pStyle w:val="ListBullet"/>
      </w:pPr>
      <w:r>
        <w:t>Lawful Basis (Article 6): Performance of a contract or legitimate interests (care delivery).</w:t>
      </w:r>
    </w:p>
    <w:p>
      <w:pPr>
        <w:pStyle w:val="ListBullet"/>
      </w:pPr>
      <w:r>
        <w:t>Special Category Basis (Article 9): Explicit, written, and unambiguous consent from the resident or their legally appointed guardian/power of attorney.</w:t>
      </w:r>
    </w:p>
    <w:p>
      <w:pPr>
        <w:pStyle w:val="ListNumber"/>
      </w:pPr>
      <w:r>
        <w:t>3.  The "Right to be Forgotten" (Article 17): Although the physical device maintains no storage partition, the cloud database stores historical vital trend logs. The system must support immediate, permanent purging of a patient's historical trends upon request.</w:t>
      </w:r>
    </w:p>
    <w:p>
      <w:pPr>
        <w:pStyle w:val="Heading3"/>
      </w:pPr>
      <w:r>
        <w:t>4.2 US HIPAA Compliance (Health Insurance Portability and Accountability Act)</w:t>
      </w:r>
    </w:p>
    <w:p>
      <w:r>
        <w:t>For deployments within the United States, LifeMetric acts as a Business Associate handling Protected Health Information (PHI).</w:t>
      </w:r>
    </w:p>
    <w:p>
      <w:pPr>
        <w:pStyle w:val="ListNumber"/>
      </w:pPr>
      <w:r>
        <w:t>1.  Business Associate Agreements (BAAs): LifeMetric must execute formal BAAs with cloud hosting providers (e.g. AWS) and target healthcare networks.</w:t>
      </w:r>
    </w:p>
    <w:p>
      <w:pPr>
        <w:pStyle w:val="ListNumber"/>
      </w:pPr>
      <w:r>
        <w:t>2.  Technical Safeguards (Security Rule § 164.312):</w:t>
      </w:r>
    </w:p>
    <w:p>
      <w:pPr>
        <w:pStyle w:val="ListBullet"/>
      </w:pPr>
      <w:r>
        <w:t>Access Control: Enforce unique user identification, RS256 JWT sessions, and automatic logout thresholds for clinician dashboards.</w:t>
      </w:r>
    </w:p>
    <w:p>
      <w:pPr>
        <w:pStyle w:val="ListBullet"/>
      </w:pPr>
      <w:r>
        <w:t>Transmission Security: Enforce TLS 1.3 as the minimum allowed transport layer protocol for all data in transit. Enforce AES-256 for all databases and S3 buckets at rest.</w:t>
      </w:r>
    </w:p>
    <w:p>
      <w:pPr>
        <w:pStyle w:val="ListBullet"/>
      </w:pPr>
      <w:r>
        <w:t>Audit Controls: Enable complete system audit trails. Utilize Postgres pgAudit to record all SQL queries touching vital sign tables and log all S3 object accesses via AWS CloudTrail.</w:t>
      </w:r>
    </w:p>
    <w:p>
      <w:r>
        <w:t>---</w:t>
      </w:r>
    </w:p>
    <w:p>
      <w:pPr>
        <w:pStyle w:val="ListNumber"/>
      </w:pPr>
      <w:r>
        <w:t>5. Security &amp; Data Lifecycle Architecture</w:t>
      </w:r>
    </w:p>
    <w:p>
      <w:r>
        <w:t>Below is the data retention and encryption lifecyle designed to maintain strict privacy boundaries:</w:t>
      </w:r>
    </w:p>
    <w:p>
      <w:r>
        <w:t>`</w:t>
      </w:r>
    </w:p>
    <w:p>
      <w:r>
        <w:t>[ Raw Sensor Ingestion ] ──&gt; Processed entirely in RAM ──&gt; Dropped instantly (0ms retention)</w:t>
      </w:r>
    </w:p>
    <w:p>
      <w:r>
        <w:t>│</w:t>
      </w:r>
    </w:p>
    <w:p>
      <w:r>
        <w:t>▼</w:t>
      </w:r>
    </w:p>
    <w:p>
      <w:r>
        <w:t>[ Behavior Metadata Event ] ──&gt; Encrypted via TLS 1.3 ──&gt; Transmitted to API Gateway</w:t>
      </w:r>
    </w:p>
    <w:p>
      <w:r>
        <w:t>│</w:t>
      </w:r>
    </w:p>
    <w:p>
      <w:r>
        <w:t>▼</w:t>
      </w:r>
    </w:p>
    <w:p>
      <w:r>
        <w:t>[ Database / RDS Postgres ] ──&gt; Encrypted via AES-256 ──&gt; Retained under 90-day rolling cycle</w:t>
      </w:r>
    </w:p>
    <w:p>
      <w:r>
        <w:t>│</w:t>
      </w:r>
    </w:p>
    <w:p>
      <w:r>
        <w:t>▼</w:t>
      </w:r>
    </w:p>
    <w:p>
      <w:r>
        <w:t>[ FHIR Observation Write ] ──&gt; Auth via OAuth 2.0 ──&gt; Written to EHR (Epic / Cerner)</w:t>
      </w:r>
    </w:p>
    <w:p>
      <w:r>
        <w:t>`</w:t>
      </w:r>
    </w:p>
    <w:p>
      <w:pPr>
        <w:pStyle w:val="ListNumber"/>
      </w:pPr>
      <w:r>
        <w:t>1.  Local Memory Zeroing: On the physical device, raw mmWave registers and thermal grids are cleared from RAM immediately following local neural network inference execution on the ESP32-S3.</w:t>
      </w:r>
    </w:p>
    <w:p>
      <w:pPr>
        <w:pStyle w:val="ListNumber"/>
      </w:pPr>
      <w:r>
        <w:t>2.  AWS Key Management Service (KMS): Database encryption keys are managed and rotated automatically every 90 days via AWS KMS KEK envelopes.</w:t>
      </w:r>
    </w:p>
    <w:p>
      <w:pPr>
        <w:pStyle w:val="ListNumber"/>
      </w:pPr>
      <w:r>
        <w:t>3.  Anonymized Telemetry Routing: Outbound telemetry packets do not contain patient names or medical histories; they are indexed strictly using a pseudonymous Device UUID. Patient identity mapping is resolved only within the hospital's secure FHIR API gateway.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