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Regulatory, Clinical Safety &amp; Data Privacy Compliance Audit</w:t>
      </w:r>
    </w:p>
    <w:p>
      <w:r>
        <w:t>Target System: LifeMetrics Ambient Intelligence System</w:t>
      </w:r>
    </w:p>
    <w:p>
      <w:r>
        <w:t>Authors:</w:t>
      </w:r>
    </w:p>
    <w:p>
      <w:pPr>
        <w:pStyle w:val="ListBullet"/>
      </w:pPr>
      <w:r>
        <w:t xml:space="preserve">  Amani Wanjiru, Security &amp; Compliance Reviewer</w:t>
      </w:r>
    </w:p>
    <w:p>
      <w:pPr>
        <w:pStyle w:val="ListBullet"/>
      </w:pPr>
      <w:r>
        <w:t xml:space="preserve">  Renata Cruz, Data Privacy Engineer</w:t>
      </w:r>
    </w:p>
    <w:p>
      <w:r>
        <w:t>Target Audience: Clinical Safety Officers, DPOs, Executive Leadership</w:t>
      </w:r>
    </w:p>
    <w:p>
      <w:r>
        <w:t>Reviewers: Sade (Product Strategy), Arjun (Solution Architecture)</w:t>
      </w:r>
    </w:p>
    <w:p>
      <w:r>
        <w:t>Status: Compliance Specification v1.0</w:t>
      </w:r>
    </w:p>
    <w:p>
      <w:r>
        <w:t>---</w:t>
      </w:r>
    </w:p>
    <w:p>
      <w:pPr>
        <w:pStyle w:val="Heading2"/>
      </w:pPr>
      <w:r>
        <w:t>1. Executive Summary &amp; Audit Scope</w:t>
      </w:r>
    </w:p>
    <w:p>
      <w:r>
        <w:t>This audit outlines the regulatory, clinical safety, and data privacy framework required to deploy the LifeMetric Ambient Intelligence System in independent elderly care facilities and NHS clinical virtual wards.</w:t>
      </w:r>
    </w:p>
    <w:p>
      <w:r>
        <w:t>By utilizing passive, camera-free mmWave radar, LWIR thermal grids, and acoustic micro-signals, the system solves the "Privacy Paradox" at the hardware level. However, because it extracts vital signs (Heart Rate, Respiratory Rate) and predicts physical events (Falls), it triggers high-stakes clinical and privacy compliance mandates under UK, EU, and US jurisdictions.</w:t>
      </w:r>
    </w:p>
    <w:p>
      <w:r>
        <w:t>---</w:t>
      </w:r>
    </w:p>
    <w:p>
      <w:pPr>
        <w:pStyle w:val="Heading2"/>
      </w:pPr>
      <w:r>
        <w:t>2. Clinical Safety Framework: UK DCB0129 Compliance</w:t>
      </w:r>
    </w:p>
    <w:p>
      <w:r>
        <w:t>Author: Amani Wanjiru</w:t>
      </w:r>
    </w:p>
    <w:p>
      <w:r>
        <w:t>In the United Kingdom, any health-tech software deployed within health or social care environments must comply with DCB0129 (Clinical Safety Risk Management System).</w:t>
      </w:r>
    </w:p>
    <w:p>
      <w:pPr>
        <w:pStyle w:val="Heading3"/>
      </w:pPr>
      <w:r>
        <w:t>2.1 Clinical Safety Management System (CSMS)</w:t>
      </w:r>
    </w:p>
    <w:p>
      <w:r>
        <w:t>To meet NHS mandates, LifeMetric must appoint a registered clinician as a Clinical Safety Officer (CSO) to establish and oversee the CSMS.</w:t>
      </w:r>
    </w:p>
    <w:p>
      <w:pPr>
        <w:pStyle w:val="ListNumber"/>
      </w:pPr>
      <w:r>
        <w:t>1.  Risk Analysis &amp; Risk Hazard Log: The CSO must maintain a live, rolling Clinical Risk Hazard Log.</w:t>
      </w:r>
    </w:p>
    <w:p>
      <w:pPr>
        <w:pStyle w:val="ListNumber"/>
      </w:pPr>
      <w:r>
        <w:t>2.  Clinical Safety Case Report (CSCR): Prior to deployment, a CSCR must be compiled and submitted to NHS commissioners, detailing the mitigations of all identified clinical safety hazards.</w:t>
      </w:r>
    </w:p>
    <w:p>
      <w:pPr>
        <w:pStyle w:val="Heading3"/>
      </w:pPr>
      <w:r>
        <w:t>2.2 Key Risk Hazard Log &amp; Engineering Mitigations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Hazard ID</w:t>
            </w:r>
          </w:p>
        </w:tc>
        <w:tc>
          <w:tcPr>
            <w:tcW w:type="dxa" w:w="2160"/>
          </w:tcPr>
          <w:p>
            <w:r>
              <w:t>Clinical Hazard</w:t>
            </w:r>
          </w:p>
        </w:tc>
        <w:tc>
          <w:tcPr>
            <w:tcW w:type="dxa" w:w="2160"/>
          </w:tcPr>
          <w:p>
            <w:r>
              <w:t>Severity</w:t>
            </w:r>
          </w:p>
        </w:tc>
        <w:tc>
          <w:tcPr>
            <w:tcW w:type="dxa" w:w="2160"/>
          </w:tcPr>
          <w:p>
            <w:r>
              <w:t>Mitigation Strategy</w:t>
            </w:r>
          </w:p>
        </w:tc>
      </w:tr>
      <w:tr>
        <w:tc>
          <w:tcPr>
            <w:tcW w:type="dxa" w:w="2160"/>
          </w:tcPr>
          <w:p>
            <w:r>
              <w:t>CL-HZ.1</w:t>
            </w:r>
          </w:p>
        </w:tc>
        <w:tc>
          <w:tcPr>
            <w:tcW w:type="dxa" w:w="2160"/>
          </w:tcPr>
          <w:p>
            <w:r>
              <w:t>False Negative (Unreported Fall): System fails to detect an actual fall, leading to delayed medical intervention ("The Long-Lie").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Implement Multi-Modal Sensor-Fusion. mmWave posture trajectory validation is cross-referenced in-memory with secondary LWIR thermal centroids and MEMS acoustic thud frequencies ($20\text{Hz}$–$200\text{Hz}$), maintaining sensitivity $&gt;90\%$.</w:t>
            </w:r>
          </w:p>
        </w:tc>
      </w:tr>
      <w:tr>
        <w:tc>
          <w:tcPr>
            <w:tcW w:type="dxa" w:w="2160"/>
          </w:tcPr>
          <w:p>
            <w:r>
              <w:t>CL-HZ.2</w:t>
            </w:r>
          </w:p>
        </w:tc>
        <w:tc>
          <w:tcPr>
            <w:tcW w:type="dxa" w:w="2160"/>
          </w:tcPr>
          <w:p>
            <w:r>
              <w:t>False Positive (Alert Fatigue): High volume of false fall alerts (caused by falling water, steam, or pet movements) causes nursing staff to disable alerts.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Apply background environmental clutter subtraction during local calibration. Use LWIR thermal mapping to isolate and reject biological heat centroids representing pets.</w:t>
            </w:r>
          </w:p>
        </w:tc>
      </w:tr>
      <w:tr>
        <w:tc>
          <w:tcPr>
            <w:tcW w:type="dxa" w:w="2160"/>
          </w:tcPr>
          <w:p>
            <w:r>
              <w:t>CL-HZ.3</w:t>
            </w:r>
          </w:p>
        </w:tc>
        <w:tc>
          <w:tcPr>
            <w:tcW w:type="dxa" w:w="2160"/>
          </w:tcPr>
          <w:p>
            <w:r>
              <w:t>Latency-Driven Fall Alert Lag: Alert arrives at caregivers' badges $&gt;5$ seconds post-fall, rendering predictive interventions useless.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Enforce a strict $&lt;200\text{ms}$ low-latency edge-to-cloud signaling pipeline, utilizing binary UDP/WebSocket payloads and AWS RDS Proxy connection pooling.</w:t>
            </w:r>
          </w:p>
        </w:tc>
      </w:tr>
    </w:tbl>
    <w:p>
      <w:r>
        <w:t>---</w:t>
      </w:r>
    </w:p>
    <w:p>
      <w:pPr>
        <w:pStyle w:val="Heading2"/>
      </w:pPr>
      <w:r>
        <w:t>3. US FDA Class II Medical Device Certification Pathway</w:t>
      </w:r>
    </w:p>
    <w:p>
      <w:r>
        <w:t>Author: Amani Wanjiru</w:t>
      </w:r>
    </w:p>
    <w:p>
      <w:r>
        <w:t>Because LifeMetric passively monitors heart rate and respiratory rate, the device is classified as Software as a Medical Device (SaMD) under US FDA regulations.</w:t>
      </w:r>
    </w:p>
    <w:p>
      <w:pPr>
        <w:pStyle w:val="Heading3"/>
      </w:pPr>
      <w:r>
        <w:t>3.1 Regulatory Classification Mapping</w:t>
      </w:r>
    </w:p>
    <w:p>
      <w:pPr>
        <w:pStyle w:val="ListBullet"/>
      </w:pPr>
      <w:r>
        <w:t xml:space="preserve">  Classification Name: Cardiac/Respiration Rate Monitor (Passive).</w:t>
      </w:r>
    </w:p>
    <w:p>
      <w:pPr>
        <w:pStyle w:val="ListBullet"/>
      </w:pPr>
      <w:r>
        <w:t xml:space="preserve">  Regulation Number: 21 CFR 870.2300 (or equivalent under SaMD guidelines).</w:t>
      </w:r>
    </w:p>
    <w:p>
      <w:pPr>
        <w:pStyle w:val="ListBullet"/>
      </w:pPr>
      <w:r>
        <w:t xml:space="preserve">  Product Code: MJO / DRG.</w:t>
      </w:r>
    </w:p>
    <w:p>
      <w:pPr>
        <w:pStyle w:val="ListBullet"/>
      </w:pPr>
      <w:r>
        <w:t xml:space="preserve">  Device Class: Class II (Special Controls).</w:t>
      </w:r>
    </w:p>
    <w:p>
      <w:pPr>
        <w:pStyle w:val="ListBullet"/>
      </w:pPr>
      <w:r>
        <w:t xml:space="preserve">  Pathway: Pre-Market Notification [510(k)] showing substantial equivalence to an existing predicate device, or De Novo request if substantial equivalence cannot be proved.</w:t>
      </w:r>
    </w:p>
    <w:p>
      <w:pPr>
        <w:pStyle w:val="Heading3"/>
      </w:pPr>
      <w:r>
        <w:t>3.2 Key FDA Compliance Requirements</w:t>
      </w:r>
    </w:p>
    <w:p>
      <w:pPr>
        <w:pStyle w:val="ListNumber"/>
      </w:pPr>
      <w:r>
        <w:t>1.  ISO 13485 QMS Alignment: The manufacturing and software development processes must operate under a Quality Management System (QMS) aligned with ISO 13485 standards.</w:t>
      </w:r>
    </w:p>
    <w:p>
      <w:pPr>
        <w:pStyle w:val="ListNumber"/>
      </w:pPr>
      <w:r>
        <w:t>2.  Clinical Validation Trials: Conduct clinical trials with a cohort of at least 150 participants to validate the accuracy of mmWave heart and respiratory rate extraction against gold-standard contact ECG and spirometry devices.</w:t>
      </w:r>
    </w:p>
    <w:p>
      <w:pPr>
        <w:pStyle w:val="ListNumber"/>
      </w:pPr>
      <w:r>
        <w:t>3.  Human Factors &amp; Usability (ANSI/AAMI HE75): Document exhaustive usability testing to prove that clinical staff can interpret the "Actionable Wellbeing Summaries" dashboard without risk of clinical misinterpretation.</w:t>
      </w:r>
    </w:p>
    <w:p>
      <w:r>
        <w:t>---</w:t>
      </w:r>
    </w:p>
    <w:p>
      <w:pPr>
        <w:pStyle w:val="Heading2"/>
      </w:pPr>
      <w:r>
        <w:t>4. Global Data Privacy Compliance</w:t>
      </w:r>
    </w:p>
    <w:p>
      <w:r>
        <w:t>Author: Renata Cruz</w:t>
      </w:r>
    </w:p>
    <w:p>
      <w:pPr>
        <w:pStyle w:val="Heading3"/>
      </w:pPr>
      <w:r>
        <w:t>4.1 GDPR / UK GDPR Compliance Boundary</w:t>
      </w:r>
    </w:p>
    <w:p>
      <w:r>
        <w:t>LifeMetric processes special category health data under the General Data Protection Regulation (GDPR) Article 9.</w:t>
      </w:r>
    </w:p>
    <w:p>
      <w:pPr>
        <w:pStyle w:val="ListNumber"/>
      </w:pPr>
      <w:r>
        <w:t>1.  Data Minimization (GDPR Article 5): The system implements data minimization by design. Because mmWave radar and LWIR sensors generate unstructured point-clouds and low-res grid arrays rather than identifiable images or video, no biometric PII is ever recorded, stored, or transmitted.</w:t>
      </w:r>
    </w:p>
    <w:p>
      <w:pPr>
        <w:pStyle w:val="ListNumber"/>
      </w:pPr>
      <w:r>
        <w:t>2.  Lawful Basis for Processing (Articles 6 &amp; 9):</w:t>
      </w:r>
    </w:p>
    <w:p>
      <w:pPr>
        <w:pStyle w:val="ListBullet"/>
      </w:pPr>
      <w:r>
        <w:t xml:space="preserve">  Lawful Basis (Article 6): Performance of a contract or legitimate interests (care delivery).</w:t>
      </w:r>
    </w:p>
    <w:p>
      <w:pPr>
        <w:pStyle w:val="ListBullet"/>
      </w:pPr>
      <w:r>
        <w:t xml:space="preserve">  Special Category Basis (Article 9): Explicit, written, and unambiguous consent from the resident or their legally appointed guardian/power of attorney.</w:t>
      </w:r>
    </w:p>
    <w:p>
      <w:pPr>
        <w:pStyle w:val="ListNumber"/>
      </w:pPr>
      <w:r>
        <w:t>3.  The "Right to be Forgotten" (Article 17): Although the physical device maintains no storage partition, the cloud database stores historical vital trend logs. The system must support immediate, permanent purging of a patient's historical trends upon request.</w:t>
      </w:r>
    </w:p>
    <w:p>
      <w:pPr>
        <w:pStyle w:val="Heading3"/>
      </w:pPr>
      <w:r>
        <w:t>4.2 US HIPAA Compliance (Health Insurance Portability and Accountability Act)</w:t>
      </w:r>
    </w:p>
    <w:p>
      <w:r>
        <w:t>For deployments within the United States, LifeMetric acts as a Business Associate handling Protected Health Information (PHI).</w:t>
      </w:r>
    </w:p>
    <w:p>
      <w:pPr>
        <w:pStyle w:val="ListNumber"/>
      </w:pPr>
      <w:r>
        <w:t>1.  Business Associate Agreements (BAAs): LifeMetric must execute formal BAAs with:</w:t>
      </w:r>
    </w:p>
    <w:p>
      <w:pPr>
        <w:pStyle w:val="ListBullet"/>
      </w:pPr>
      <w:r>
        <w:t xml:space="preserve">  Cloud hosting providers (e.g. AWS).</w:t>
      </w:r>
    </w:p>
    <w:p>
      <w:pPr>
        <w:pStyle w:val="ListBullet"/>
      </w:pPr>
      <w:r>
        <w:t xml:space="preserve">  Target healthcare networks and Electronic Health Record (EHR) platforms (Epic, Cerner).</w:t>
      </w:r>
    </w:p>
    <w:p>
      <w:pPr>
        <w:pStyle w:val="ListNumber"/>
      </w:pPr>
      <w:r>
        <w:t>2.  Technical Safeguards (Security Rule § 164.312):</w:t>
      </w:r>
    </w:p>
    <w:p>
      <w:pPr>
        <w:pStyle w:val="ListBullet"/>
      </w:pPr>
      <w:r>
        <w:t xml:space="preserve">  Access Control: Enforce unique user identification, RS256 JWT sessions, and automatic logout thresholds for clinician dashboards.</w:t>
      </w:r>
    </w:p>
    <w:p>
      <w:pPr>
        <w:pStyle w:val="ListBullet"/>
      </w:pPr>
      <w:r>
        <w:t xml:space="preserve">  Transmission Security: Enforce TLS 1.3 as the minimum allowed transport layer protocol for all data in transit. Enforce AES-256 for all databases and S3 buckets at rest.</w:t>
      </w:r>
    </w:p>
    <w:p>
      <w:pPr>
        <w:pStyle w:val="ListBullet"/>
      </w:pPr>
      <w:r>
        <w:t xml:space="preserve">  Audit Controls: Enable complete system audit trails. Utilize Postgres pgAudit to record all SQL queries touching vital sign tables and log all S3 object accesses via AWS CloudTrail.</w:t>
      </w:r>
    </w:p>
    <w:p>
      <w:r>
        <w:t>---</w:t>
      </w:r>
    </w:p>
    <w:p>
      <w:pPr>
        <w:pStyle w:val="Heading2"/>
      </w:pPr>
      <w:r>
        <w:t>5. Security &amp; Data Lifecycle Architecture</w:t>
      </w:r>
    </w:p>
    <w:p>
      <w:r>
        <w:t>Below is the data retention and encryption lifecyle designed to maintain strict privacy boundaries:</w:t>
      </w:r>
    </w:p>
    <w:p>
      <w:r>
        <w:t>`</w:t>
      </w:r>
    </w:p>
    <w:p>
      <w:r>
        <w:t>[ Raw Sensor Ingestion ] ──&gt; Processed entirely in RAM ──&gt; Dropped instantly (0ms retention)</w:t>
      </w:r>
    </w:p>
    <w:p>
      <w:r>
        <w:t>│</w:t>
      </w:r>
    </w:p>
    <w:p>
      <w:r>
        <w:t>▼</w:t>
      </w:r>
    </w:p>
    <w:p>
      <w:r>
        <w:t>[ Behavior Metadata Event ] ──&gt; Encrypted via TLS 1.3 ──&gt; Transmitted to API Gateway</w:t>
      </w:r>
    </w:p>
    <w:p>
      <w:r>
        <w:t>│</w:t>
      </w:r>
    </w:p>
    <w:p>
      <w:r>
        <w:t>▼</w:t>
      </w:r>
    </w:p>
    <w:p>
      <w:r>
        <w:t>[ Database / RDS Postgres ] ──&gt; Encrypted via AES-256 ──&gt; Retained under 90-day rolling cycle</w:t>
      </w:r>
    </w:p>
    <w:p>
      <w:r>
        <w:t>│</w:t>
      </w:r>
    </w:p>
    <w:p>
      <w:r>
        <w:t>▼</w:t>
      </w:r>
    </w:p>
    <w:p>
      <w:r>
        <w:t>[ FHIR Observation Write ] ──&gt; Auth via OAuth 2.0 ──&gt; Written to EHR (Epic / Cerner)</w:t>
      </w:r>
    </w:p>
    <w:p>
      <w:r>
        <w:t>`</w:t>
      </w:r>
    </w:p>
    <w:p>
      <w:pPr>
        <w:pStyle w:val="ListNumber"/>
      </w:pPr>
      <w:r>
        <w:t>1.  Local Memory Zeroing: On the physical device, raw mmWave registers and thermal grids are cleared from RAM immediately following local neural network inference execution.</w:t>
      </w:r>
    </w:p>
    <w:p>
      <w:pPr>
        <w:pStyle w:val="ListNumber"/>
      </w:pPr>
      <w:r>
        <w:t>2.  AWS Key Management Service (KMS): Database encryption keys are managed and rotated automatically every 90 days via AWS KMS KEK envelopes.</w:t>
      </w:r>
    </w:p>
    <w:p>
      <w:pPr>
        <w:pStyle w:val="ListNumber"/>
      </w:pPr>
      <w:r>
        <w:t>3.  Anonymized Telemetry Routing: Outbound telemetry packets do not contain patient names or medical histories; they are indexed strictly using a pseudonymous Device UUID. Patient identity mapping is resolved only within the hospital's on-premise EHR environment or secure FHIR API gateway.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