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Document: LifeMetrics Ambient Intelligence System</w:t>
      </w:r>
    </w:p>
    <w:p>
      <w:r>
        <w:t>Version: 1.0.0</w:t>
      </w:r>
    </w:p>
    <w:p>
      <w:r>
        <w:t>Status: Comprehensive Base v1.0</w:t>
      </w:r>
    </w:p>
    <w:p>
      <w:r>
        <w:t>Mission: To resolve the "Privacy Paradox" and "Friction Gap" in elderly care by providing a passive, camera-free monitoring system that transitions from reactive fall detection to proactive health intervention.</w:t>
      </w:r>
    </w:p>
    <w:p>
      <w:r>
        <w:t>---</w:t>
      </w:r>
    </w:p>
    <w:p>
      <w:pPr>
        <w:pStyle w:val="Heading2"/>
      </w:pPr>
      <w:r>
        <w:t>1. Product Vision &amp; Value Proposition</w:t>
      </w:r>
    </w:p>
    <w:p>
      <w:r>
        <w:t>LifeMetric is a high-trust, ambient, privacy-first fall detection and health anomaly monitoring system designed for independent elderly living and clinical virtual wards. The core value proposition is resolving the Privacy Paradox by delivering 24/7 continuous, active safety monitoring without requiring the user to wear a device (eliminating the compliance gap) or placing optical cameras in private spaces (eliminating surveillance stigma).</w:t>
      </w:r>
    </w:p>
    <w:p>
      <w:pPr>
        <w:pStyle w:val="Heading2"/>
      </w:pPr>
      <w:r>
        <w:t>2. Technical Architecture &amp; Sensor Fusion</w:t>
      </w:r>
    </w:p>
    <w:p>
      <w:r>
        <w:t>The hardware unit operates on a multi-modal Sensor-Fusion array to map environments and detect human behavioral anomalies with high precision:</w:t>
      </w:r>
    </w:p>
    <w:p>
      <w:pPr>
        <w:pStyle w:val="ListBullet"/>
      </w:pPr>
      <w:r>
        <w:t xml:space="preserve">  60GHz mmWave Radar: Emits high-frequency radio waves (FMCW) to track a room's spatial point-clouds, monitoring body posture, gait velocity, and instant vertical deceleration (fall signatures). Full-room coverage extends up to a 7-meter radius.</w:t>
      </w:r>
    </w:p>
    <w:p>
      <w:pPr>
        <w:pStyle w:val="ListBullet"/>
      </w:pPr>
      <w:r>
        <w:t xml:space="preserve">  Long-Wave Infrared (LWIR) Thermal Sensing: Provides supplementary heat-signature mapping to isolate human biological shapes from static objects or pets, maintaining functionality in complete darkness or thick bathroom steam.</w:t>
      </w:r>
    </w:p>
    <w:p>
      <w:pPr>
        <w:pStyle w:val="ListBullet"/>
      </w:pPr>
      <w:r>
        <w:t xml:space="preserve">  Acoustic Micro-Signal Analysis: Captures audio frequencies specifically tuned to structural impacts (thuds) and distress vocalizations, acting as a secondary verification layer to eliminate false positives.</w:t>
      </w:r>
    </w:p>
    <w:p>
      <w:pPr>
        <w:pStyle w:val="Heading2"/>
      </w:pPr>
      <w:r>
        <w:t>3. Core Software &amp; Edge-AI Engine</w:t>
      </w:r>
    </w:p>
    <w:p>
      <w:r>
        <w:t>To ensure absolute privacy and real-time responsiveness, data is processed locally rather than uploaded to a centralized cloud:</w:t>
      </w:r>
    </w:p>
    <w:p>
      <w:pPr>
        <w:pStyle w:val="ListBullet"/>
      </w:pPr>
      <w:r>
        <w:t xml:space="preserve">  Decentralized Edge-AI: The hardware unit features an onboard neural processing unit (NPU) running a lightweight human behavioral model (using an ARM Cortex-M4 MCU with DSP). Raw sensor data is instantly converted into anonymized behavioral metadata at the edge; no raw audio, thermal, or radar imagery ever leaves the device.</w:t>
      </w:r>
    </w:p>
    <w:p>
      <w:pPr>
        <w:pStyle w:val="ListBullet"/>
      </w:pPr>
      <w:r>
        <w:t xml:space="preserve">  Biometric Movement Analytics: The machine learning algorithms calibrate to individual baseline movements over an initial 48-hour learning period, accounting for variations in body mass index (BMI), mobility levels, and walking aids.</w:t>
      </w:r>
    </w:p>
    <w:p>
      <w:pPr>
        <w:pStyle w:val="ListBullet"/>
      </w:pPr>
      <w:r>
        <w:t xml:space="preserve">  Early Fall Projection &amp; Intent (Proactive Module):</w:t>
      </w:r>
    </w:p>
    <w:p>
      <w:pPr>
        <w:pStyle w:val="ListBullet"/>
      </w:pPr>
      <w:r>
        <w:t xml:space="preserve">  Kinematic Vector Analysis: Track the velocity and trajectory of the resident’s center of mass to identify "unstable descent" (the 1–3 seconds prior to impact).</w:t>
      </w:r>
    </w:p>
    <w:p>
      <w:pPr>
        <w:pStyle w:val="ListBullet"/>
      </w:pPr>
      <w:r>
        <w:t xml:space="preserve">  Incipient Fall Alerts: Trigger high-priority alerts to staff when a descent vector exceeds safety thresholds, even before the resident hits the floor.</w:t>
      </w:r>
    </w:p>
    <w:p>
      <w:pPr>
        <w:pStyle w:val="ListBullet"/>
      </w:pPr>
      <w:r>
        <w:t xml:space="preserve">  Bed-Exit &amp; "Dangling" Detection: Identify the transition from lying to sitting on the edge of the bed ("dangling") to alert staff before a resident attempts an unassisted stand.</w:t>
      </w:r>
    </w:p>
    <w:p>
      <w:pPr>
        <w:pStyle w:val="ListBullet"/>
      </w:pPr>
      <w:r>
        <w:t xml:space="preserve">  Gait Analysis: Monitor movement trends, specifically identifying "asymmetric weight bearing" or "shuffling" as leading indicators of future fall risk.</w:t>
      </w:r>
    </w:p>
    <w:p>
      <w:pPr>
        <w:pStyle w:val="ListBullet"/>
      </w:pPr>
      <w:r>
        <w:t xml:space="preserve">  Contactless Vitals: Passive measurement of Heart Rate and Respiratory Rate (breathing) by detecting minute displacements of the chest wall.</w:t>
      </w:r>
    </w:p>
    <w:p>
      <w:pPr>
        <w:pStyle w:val="ListBullet"/>
      </w:pPr>
      <w:r>
        <w:t xml:space="preserve">  Presence &amp; Absence: Monitor room occupancy, bed presence, and duration of absence to detect wandering or disorientation.</w:t>
      </w:r>
    </w:p>
    <w:p>
      <w:pPr>
        <w:pStyle w:val="Heading2"/>
      </w:pPr>
      <w:r>
        <w:t>4. Industrial Design &amp; Hardware Specifications</w:t>
      </w:r>
    </w:p>
    <w:p>
      <w:r>
        <w:t>The physical unit is engineered for unobtrusive, industrial-grade residential placement:</w:t>
      </w:r>
    </w:p>
    <w:p>
      <w:pPr>
        <w:pStyle w:val="ListBullet"/>
      </w:pPr>
      <w:r>
        <w:t xml:space="preserve">  Form Factor: A compact, palm-sized enclosure designed for ceiling or upper-corner wall mounting to maximize line-of-sight coverage across an average 5m x 5m room.</w:t>
      </w:r>
    </w:p>
    <w:p>
      <w:pPr>
        <w:pStyle w:val="ListBullet"/>
      </w:pPr>
      <w:r>
        <w:t xml:space="preserve">  Materials: Injection-molded, medical-grade, antimicrobial ABS plastic. The exterior is entirely smooth with no visible lens or camera aperture, reinforcing user trust through a frictionless, non-intrusive aesthetic.</w:t>
      </w:r>
    </w:p>
    <w:p>
      <w:pPr>
        <w:pStyle w:val="ListBullet"/>
      </w:pPr>
      <w:r>
        <w:t xml:space="preserve">  Power &amp; Connectivity: Powered via a standard USB-C interface. Secure data transmission relies on dual-band Wi-Fi (2.4GHz/5GHz, supporting Wi-Fi 6) and Bluetooth Low Energy (BLE 5.3) for local setup, utilizing enterprise-grade end-to-end encryption (AES-256).</w:t>
      </w:r>
    </w:p>
    <w:p>
      <w:pPr>
        <w:pStyle w:val="Heading2"/>
      </w:pPr>
      <w:r>
        <w:t>5. Deployment, Procurement &amp; Compliance</w:t>
      </w:r>
    </w:p>
    <w:p>
      <w:pPr>
        <w:pStyle w:val="ListBullet"/>
      </w:pPr>
      <w:r>
        <w:t xml:space="preserve">  Interoperability: The software architecture exposes a robust, HL7/FHIR-compliant API. This allows seamless bidirectional data integration into existing global Electronic Health Records (EHR) systems (e.g., Epic, Cerner, and PointClickCare) and standard NHS telecare monitoring dashboards.</w:t>
      </w:r>
    </w:p>
    <w:p>
      <w:pPr>
        <w:pStyle w:val="ListBullet"/>
      </w:pPr>
      <w:r>
        <w:t xml:space="preserve">  Regulatory Compliance: Designed to meet rigorous international data-protection and medical standards, including GDPR (UK/EU), HIPAA (US), UKCA Class I medical device certification, and NHS clinical safety standards (DCB0129/DSPT). Target FDA Class II (Cardiac/Respiration Rate Monitor) certification.</w:t>
      </w:r>
    </w:p>
    <w:p>
      <w:pPr>
        <w:pStyle w:val="ListBullet"/>
      </w:pPr>
      <w:r>
        <w:t xml:space="preserve">  Manufacturing Model: Utilizes an asset-light contract manufacturing framework with Tier-1 original equipment manufacturers (OEMs) to strictly control hardware Bill of Materials (BOM) costs, facilitating scalable Software-as-a-Service (SaaS) business modeling.</w:t>
      </w:r>
    </w:p>
    <w:p>
      <w:pPr>
        <w:pStyle w:val="Heading2"/>
      </w:pPr>
      <w:r>
        <w:t>6. Development Success Metrics</w:t>
      </w:r>
    </w:p>
    <w:p>
      <w:pPr>
        <w:pStyle w:val="ListBullet"/>
      </w:pPr>
      <w:r>
        <w:t xml:space="preserve">  Latency: Signal-to-alert latency must remain under 200 milliseconds for the "Early Projection" module to be actionable.</w:t>
      </w:r>
    </w:p>
    <w:p>
      <w:pPr>
        <w:pStyle w:val="ListBullet"/>
      </w:pPr>
      <w:r>
        <w:t xml:space="preserve">  Accuracy: Maintain &gt;90% sensitivity for fall events and false positive rates below 8% to prevent "alert fatigue".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