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B7783" w14:textId="620DEFF5" w:rsidR="00D26ED6" w:rsidRDefault="003C1D7A" w:rsidP="00D26ED6">
      <w:pPr>
        <w:spacing w:line="48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Investigating Toll-Like Receptor 9 as a mechanism of resistance to </w:t>
      </w:r>
      <w:r w:rsidR="00D26ED6">
        <w:rPr>
          <w:b/>
          <w:bCs/>
          <w:u w:val="single"/>
        </w:rPr>
        <w:t>B-cell receptor-targeted therapies in Chronic Lymphocytic Leukaemia</w:t>
      </w:r>
      <w:r w:rsidR="005E1974">
        <w:rPr>
          <w:b/>
          <w:bCs/>
          <w:u w:val="single"/>
        </w:rPr>
        <w:t>.</w:t>
      </w:r>
    </w:p>
    <w:p w14:paraId="0A5BBFB0" w14:textId="77777777" w:rsidR="005E1974" w:rsidRPr="005E1974" w:rsidRDefault="005E1974" w:rsidP="00EC254C">
      <w:pPr>
        <w:spacing w:line="480" w:lineRule="auto"/>
        <w:jc w:val="both"/>
        <w:rPr>
          <w:b/>
          <w:bCs/>
          <w:u w:val="single"/>
        </w:rPr>
      </w:pPr>
      <w:r w:rsidRPr="005E1974">
        <w:rPr>
          <w:b/>
          <w:bCs/>
          <w:u w:val="single"/>
        </w:rPr>
        <w:t>Authors:</w:t>
      </w:r>
    </w:p>
    <w:p w14:paraId="573F4A21" w14:textId="677CF0D4" w:rsidR="005E1974" w:rsidRDefault="005E1974" w:rsidP="00EC254C">
      <w:pPr>
        <w:spacing w:line="480" w:lineRule="auto"/>
        <w:jc w:val="both"/>
        <w:rPr>
          <w:rFonts w:cstheme="minorHAnsi"/>
        </w:rPr>
      </w:pPr>
      <w:r w:rsidRPr="00AF79AC">
        <w:rPr>
          <w:rFonts w:cstheme="minorHAnsi"/>
        </w:rPr>
        <w:t>Emma Kennedy</w:t>
      </w:r>
      <w:r w:rsidR="00E7404D" w:rsidRPr="00E7404D">
        <w:rPr>
          <w:rFonts w:cstheme="minorHAnsi"/>
          <w:vertAlign w:val="superscript"/>
        </w:rPr>
        <w:t>1</w:t>
      </w:r>
      <w:r w:rsidRPr="00AF79AC">
        <w:rPr>
          <w:rFonts w:cstheme="minorHAnsi"/>
        </w:rPr>
        <w:t xml:space="preserve">, </w:t>
      </w:r>
      <w:r>
        <w:rPr>
          <w:rFonts w:cstheme="minorHAnsi"/>
        </w:rPr>
        <w:t>Simon Mitchell</w:t>
      </w:r>
      <w:r w:rsidR="00E7404D" w:rsidRPr="00E7404D">
        <w:rPr>
          <w:rFonts w:cstheme="minorHAnsi"/>
          <w:vertAlign w:val="superscript"/>
        </w:rPr>
        <w:t>1</w:t>
      </w:r>
      <w:r>
        <w:rPr>
          <w:rFonts w:cstheme="minorHAnsi"/>
        </w:rPr>
        <w:t xml:space="preserve">, </w:t>
      </w:r>
      <w:r w:rsidRPr="00AF79AC">
        <w:rPr>
          <w:rFonts w:cstheme="minorHAnsi"/>
        </w:rPr>
        <w:t>Thomas A. Burley</w:t>
      </w:r>
      <w:r w:rsidR="00E7404D" w:rsidRPr="00E7404D">
        <w:rPr>
          <w:rFonts w:cstheme="minorHAnsi"/>
          <w:vertAlign w:val="superscript"/>
        </w:rPr>
        <w:t>1</w:t>
      </w:r>
      <w:r w:rsidRPr="00885885">
        <w:rPr>
          <w:rFonts w:cstheme="minorHAnsi"/>
        </w:rPr>
        <w:t>,</w:t>
      </w:r>
      <w:r w:rsidR="003E751D">
        <w:rPr>
          <w:rFonts w:cstheme="minorHAnsi"/>
        </w:rPr>
        <w:t xml:space="preserve"> </w:t>
      </w:r>
      <w:proofErr w:type="spellStart"/>
      <w:r w:rsidR="003E751D">
        <w:rPr>
          <w:rFonts w:cstheme="minorHAnsi"/>
        </w:rPr>
        <w:t>Triantafillos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Liloglou</w:t>
      </w:r>
      <w:proofErr w:type="spellEnd"/>
      <w:r>
        <w:rPr>
          <w:rFonts w:cstheme="minorHAnsi"/>
        </w:rPr>
        <w:t xml:space="preserve">, </w:t>
      </w:r>
      <w:r w:rsidRPr="00AF79AC">
        <w:rPr>
          <w:rFonts w:cstheme="minorHAnsi"/>
        </w:rPr>
        <w:t>Rosalynd Johnston</w:t>
      </w:r>
      <w:r w:rsidR="00E7404D" w:rsidRPr="00E7404D">
        <w:rPr>
          <w:rFonts w:cstheme="minorHAnsi"/>
          <w:vertAlign w:val="superscript"/>
        </w:rPr>
        <w:t>3</w:t>
      </w:r>
      <w:r w:rsidRPr="00AF79AC">
        <w:rPr>
          <w:rFonts w:cstheme="minorHAnsi"/>
        </w:rPr>
        <w:t xml:space="preserve">, </w:t>
      </w:r>
      <w:r>
        <w:rPr>
          <w:rFonts w:cstheme="minorHAnsi"/>
        </w:rPr>
        <w:t>Dora Bak-Blaz</w:t>
      </w:r>
      <w:r w:rsidR="00E7404D" w:rsidRPr="00E7404D">
        <w:rPr>
          <w:rFonts w:cstheme="minorHAnsi"/>
          <w:vertAlign w:val="superscript"/>
        </w:rPr>
        <w:t>3</w:t>
      </w:r>
      <w:r>
        <w:rPr>
          <w:rFonts w:cstheme="minorHAnsi"/>
        </w:rPr>
        <w:t>, Kathryn Chamberlain</w:t>
      </w:r>
      <w:r w:rsidR="00E7404D" w:rsidRPr="00E7404D">
        <w:rPr>
          <w:rFonts w:cstheme="minorHAnsi"/>
          <w:vertAlign w:val="superscript"/>
        </w:rPr>
        <w:t>3</w:t>
      </w:r>
      <w:r>
        <w:rPr>
          <w:rFonts w:cstheme="minorHAnsi"/>
        </w:rPr>
        <w:t>, Eleni Ladikou</w:t>
      </w:r>
      <w:r w:rsidR="00E7404D" w:rsidRPr="00E7404D">
        <w:rPr>
          <w:rFonts w:cstheme="minorHAnsi"/>
          <w:vertAlign w:val="superscript"/>
        </w:rPr>
        <w:t>1</w:t>
      </w:r>
      <w:r>
        <w:rPr>
          <w:rFonts w:cstheme="minorHAnsi"/>
        </w:rPr>
        <w:t xml:space="preserve">, </w:t>
      </w:r>
      <w:r w:rsidRPr="00AF79AC">
        <w:rPr>
          <w:rFonts w:cstheme="minorHAnsi"/>
        </w:rPr>
        <w:t>Chris Pepper</w:t>
      </w:r>
      <w:r w:rsidR="00E7404D" w:rsidRPr="00E7404D">
        <w:rPr>
          <w:rFonts w:cstheme="minorHAnsi"/>
          <w:vertAlign w:val="superscript"/>
        </w:rPr>
        <w:t>1</w:t>
      </w:r>
      <w:r>
        <w:rPr>
          <w:rFonts w:cstheme="minorHAnsi"/>
        </w:rPr>
        <w:t xml:space="preserve"> </w:t>
      </w:r>
      <w:r w:rsidRPr="00AF79AC">
        <w:rPr>
          <w:rFonts w:cstheme="minorHAnsi"/>
        </w:rPr>
        <w:t>and Andrea G.S</w:t>
      </w:r>
      <w:r>
        <w:rPr>
          <w:rFonts w:cstheme="minorHAnsi"/>
        </w:rPr>
        <w:t>.</w:t>
      </w:r>
      <w:r w:rsidRPr="00AF79AC">
        <w:rPr>
          <w:rFonts w:cstheme="minorHAnsi"/>
        </w:rPr>
        <w:t xml:space="preserve"> Pepper</w:t>
      </w:r>
      <w:r w:rsidR="00E7404D" w:rsidRPr="00E7404D">
        <w:rPr>
          <w:rFonts w:cstheme="minorHAnsi"/>
          <w:vertAlign w:val="superscript"/>
        </w:rPr>
        <w:t>1</w:t>
      </w:r>
      <w:r w:rsidRPr="00AF79AC">
        <w:rPr>
          <w:rFonts w:cstheme="minorHAnsi"/>
        </w:rPr>
        <w:t>.</w:t>
      </w:r>
    </w:p>
    <w:p w14:paraId="01EA8098" w14:textId="0E1E7C3E" w:rsidR="00E7404D" w:rsidRPr="00E7404D" w:rsidRDefault="00E7404D" w:rsidP="00EC254C">
      <w:pPr>
        <w:spacing w:line="480" w:lineRule="auto"/>
        <w:jc w:val="both"/>
        <w:rPr>
          <w:rFonts w:cstheme="minorHAnsi"/>
          <w:b/>
          <w:u w:val="single"/>
        </w:rPr>
      </w:pPr>
      <w:r w:rsidRPr="00E7404D">
        <w:rPr>
          <w:rFonts w:cstheme="minorHAnsi"/>
          <w:b/>
          <w:u w:val="single"/>
        </w:rPr>
        <w:t>Affiliations:</w:t>
      </w:r>
      <w:bookmarkStart w:id="0" w:name="_GoBack"/>
      <w:bookmarkEnd w:id="0"/>
    </w:p>
    <w:p w14:paraId="2944014D" w14:textId="0E703694" w:rsidR="00E7404D" w:rsidRDefault="00E7404D" w:rsidP="00EC254C">
      <w:pPr>
        <w:spacing w:line="480" w:lineRule="auto"/>
        <w:jc w:val="both"/>
        <w:rPr>
          <w:rFonts w:cstheme="minorHAnsi"/>
        </w:rPr>
      </w:pPr>
      <w:r w:rsidRPr="00E7404D">
        <w:rPr>
          <w:rFonts w:cstheme="minorHAnsi"/>
          <w:vertAlign w:val="superscript"/>
        </w:rPr>
        <w:t>1</w:t>
      </w:r>
      <w:r>
        <w:rPr>
          <w:rFonts w:cstheme="minorHAnsi"/>
        </w:rPr>
        <w:t xml:space="preserve">Department of Clinical and Experimental Medicine, Brighton and Sussex Medical School, </w:t>
      </w:r>
      <w:proofErr w:type="spellStart"/>
      <w:r>
        <w:rPr>
          <w:rFonts w:cstheme="minorHAnsi"/>
        </w:rPr>
        <w:t>Falmer</w:t>
      </w:r>
      <w:proofErr w:type="spellEnd"/>
      <w:r>
        <w:rPr>
          <w:rFonts w:cstheme="minorHAnsi"/>
        </w:rPr>
        <w:t xml:space="preserve">, United Kingdom. </w:t>
      </w:r>
      <w:r w:rsidRPr="00E7404D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Faculty of Health, Social Care &amp; Medicine, Edge Hill University, Ormskirk, United Kingdom.  </w:t>
      </w:r>
      <w:r w:rsidRPr="00E7404D">
        <w:rPr>
          <w:rFonts w:cstheme="minorHAnsi"/>
          <w:vertAlign w:val="superscript"/>
        </w:rPr>
        <w:t>3</w:t>
      </w:r>
      <w:r w:rsidRPr="00E7404D">
        <w:rPr>
          <w:rFonts w:cstheme="minorHAnsi"/>
        </w:rPr>
        <w:t>Brighton and Sussex University Hospital Trust, Brighton, United Kingdom.</w:t>
      </w:r>
    </w:p>
    <w:p w14:paraId="766D272B" w14:textId="038EFAE3" w:rsidR="00967455" w:rsidRPr="00FB1985" w:rsidRDefault="00967455" w:rsidP="00EC254C">
      <w:pPr>
        <w:spacing w:line="480" w:lineRule="auto"/>
        <w:jc w:val="both"/>
        <w:rPr>
          <w:b/>
          <w:bCs/>
          <w:u w:val="single"/>
        </w:rPr>
      </w:pPr>
      <w:r w:rsidRPr="00FB1985">
        <w:rPr>
          <w:b/>
          <w:bCs/>
          <w:u w:val="single"/>
        </w:rPr>
        <w:t>Objectives:</w:t>
      </w:r>
    </w:p>
    <w:p w14:paraId="7E99C08D" w14:textId="0B07597B" w:rsidR="0073512A" w:rsidRDefault="006B2324" w:rsidP="00EC254C">
      <w:pPr>
        <w:spacing w:line="480" w:lineRule="auto"/>
        <w:jc w:val="both"/>
      </w:pPr>
      <w:r w:rsidRPr="00FB1985">
        <w:t xml:space="preserve">B-cell receptor (BCR)-targeted </w:t>
      </w:r>
      <w:r>
        <w:t>therapies</w:t>
      </w:r>
      <w:r w:rsidRPr="00FB1985">
        <w:t xml:space="preserve"> </w:t>
      </w:r>
      <w:r>
        <w:t>are</w:t>
      </w:r>
      <w:r w:rsidRPr="00FB1985">
        <w:t xml:space="preserve"> extremely effective at releasing tissue-resident</w:t>
      </w:r>
      <w:r>
        <w:t xml:space="preserve"> Chronic Lymphocytic Leukaemia (CLL)</w:t>
      </w:r>
      <w:r w:rsidRPr="00FB1985">
        <w:t xml:space="preserve"> cells and inducing apoptosis</w:t>
      </w:r>
      <w:r>
        <w:t xml:space="preserve">, however, CLL remains an incurable disease. </w:t>
      </w:r>
      <w:r w:rsidR="00967455" w:rsidRPr="00FB1985">
        <w:t xml:space="preserve">Toll-Like Receptor 9 (TLR9) is a pattern recognition receptor of the innate immune system, and a potential candidate for a </w:t>
      </w:r>
      <w:r w:rsidR="00967455" w:rsidRPr="006B2324">
        <w:rPr>
          <w:u w:val="single"/>
        </w:rPr>
        <w:t>dual targeted</w:t>
      </w:r>
      <w:r w:rsidR="00967455" w:rsidRPr="00FB1985">
        <w:t xml:space="preserve"> approach to CLL treatment.</w:t>
      </w:r>
      <w:r w:rsidR="009C1D0E">
        <w:t xml:space="preserve"> T</w:t>
      </w:r>
      <w:r w:rsidR="00AA0080" w:rsidRPr="00FB1985">
        <w:t xml:space="preserve">LR9 recognises </w:t>
      </w:r>
      <w:proofErr w:type="spellStart"/>
      <w:r w:rsidR="00AA0080" w:rsidRPr="00FB1985">
        <w:t>unmethylated</w:t>
      </w:r>
      <w:proofErr w:type="spellEnd"/>
      <w:r w:rsidR="00AA0080" w:rsidRPr="00FB1985">
        <w:t xml:space="preserve"> </w:t>
      </w:r>
      <w:proofErr w:type="spellStart"/>
      <w:r w:rsidR="00AA0080" w:rsidRPr="00FB1985">
        <w:t>CpG</w:t>
      </w:r>
      <w:proofErr w:type="spellEnd"/>
      <w:r w:rsidR="00AA0080" w:rsidRPr="00FB1985">
        <w:t xml:space="preserve"> DNA motifs</w:t>
      </w:r>
      <w:r w:rsidR="00AA0080">
        <w:t xml:space="preserve"> (</w:t>
      </w:r>
      <w:r w:rsidR="00AA0080" w:rsidRPr="00FB1985">
        <w:t xml:space="preserve">present in bacterial/viral </w:t>
      </w:r>
      <w:r w:rsidR="00AA0080">
        <w:t xml:space="preserve">and </w:t>
      </w:r>
      <w:r w:rsidR="00AA0080" w:rsidRPr="00FB1985">
        <w:t>mitochondrial DNA</w:t>
      </w:r>
      <w:r w:rsidR="00AA0080">
        <w:t xml:space="preserve">) and </w:t>
      </w:r>
      <w:r w:rsidR="00B333E3">
        <w:t xml:space="preserve">TLR9 ligation </w:t>
      </w:r>
      <w:r w:rsidR="00AA0080">
        <w:t xml:space="preserve">induces </w:t>
      </w:r>
      <w:r w:rsidR="00967455" w:rsidRPr="00FB1985">
        <w:t>an NF</w:t>
      </w:r>
      <w:r w:rsidR="00967455" w:rsidRPr="00FB1985">
        <w:rPr>
          <w:rFonts w:ascii="Symbol" w:hAnsi="Symbol"/>
        </w:rPr>
        <w:t></w:t>
      </w:r>
      <w:r w:rsidR="00967455" w:rsidRPr="00FB1985">
        <w:t>B and STAT3-driven activat</w:t>
      </w:r>
      <w:r w:rsidR="00B333E3">
        <w:t>ion</w:t>
      </w:r>
      <w:r w:rsidR="009C1D0E">
        <w:t xml:space="preserve">/migratory </w:t>
      </w:r>
      <w:r w:rsidR="00967455" w:rsidRPr="00FB1985">
        <w:t>phenotype in primary CLL cells.</w:t>
      </w:r>
      <w:r w:rsidR="009C1D0E">
        <w:t xml:space="preserve"> </w:t>
      </w:r>
      <w:r w:rsidR="008E2B80">
        <w:t xml:space="preserve">We have recently shown that </w:t>
      </w:r>
      <w:proofErr w:type="spellStart"/>
      <w:r w:rsidR="008E2B80" w:rsidRPr="00FB1985">
        <w:t>unmethylated</w:t>
      </w:r>
      <w:proofErr w:type="spellEnd"/>
      <w:r w:rsidR="008E2B80" w:rsidRPr="00FB1985">
        <w:t xml:space="preserve"> DNA </w:t>
      </w:r>
      <w:r w:rsidR="008E2B80">
        <w:t>is</w:t>
      </w:r>
      <w:r w:rsidR="008E2B80" w:rsidRPr="00FB1985">
        <w:t xml:space="preserve"> </w:t>
      </w:r>
      <w:r w:rsidR="008E2B80">
        <w:t xml:space="preserve">up to 28-fold higher </w:t>
      </w:r>
      <w:r w:rsidR="008E2B80" w:rsidRPr="00FB1985">
        <w:t>in</w:t>
      </w:r>
      <w:r w:rsidR="008E2B80" w:rsidRPr="00EC254C">
        <w:t xml:space="preserve"> CLL patient plasma, relative </w:t>
      </w:r>
      <w:r w:rsidR="008E2B80">
        <w:t xml:space="preserve">to healthy </w:t>
      </w:r>
      <w:r w:rsidR="009C1D0E" w:rsidRPr="00FB1985">
        <w:t>controls</w:t>
      </w:r>
      <w:r w:rsidR="000422BA" w:rsidRPr="003E751D">
        <w:rPr>
          <w:vertAlign w:val="superscript"/>
        </w:rPr>
        <w:t>1</w:t>
      </w:r>
      <w:r w:rsidR="003E751D">
        <w:t xml:space="preserve">, and have </w:t>
      </w:r>
      <w:r w:rsidR="009C1D0E">
        <w:t>therefore i</w:t>
      </w:r>
      <w:r w:rsidR="00967455" w:rsidRPr="00FB1985">
        <w:t>nvestigate</w:t>
      </w:r>
      <w:r w:rsidR="009C1D0E">
        <w:t>d</w:t>
      </w:r>
      <w:r w:rsidR="00967455" w:rsidRPr="00FB1985">
        <w:t xml:space="preserve"> TLR9</w:t>
      </w:r>
      <w:r w:rsidR="00B333E3">
        <w:t xml:space="preserve"> signalling</w:t>
      </w:r>
      <w:r w:rsidR="00967455" w:rsidRPr="00FB1985">
        <w:t xml:space="preserve"> </w:t>
      </w:r>
      <w:r w:rsidR="009C1D0E">
        <w:t xml:space="preserve">as </w:t>
      </w:r>
      <w:r w:rsidR="00967455" w:rsidRPr="00FB1985">
        <w:t>a potential mechanism of resistance to BCR-targeted agents.</w:t>
      </w:r>
    </w:p>
    <w:p w14:paraId="7F44939A" w14:textId="213BADF3" w:rsidR="00967455" w:rsidRPr="00FB1985" w:rsidRDefault="00967455" w:rsidP="00EC254C">
      <w:pPr>
        <w:tabs>
          <w:tab w:val="left" w:pos="1640"/>
        </w:tabs>
        <w:spacing w:line="480" w:lineRule="auto"/>
        <w:jc w:val="both"/>
        <w:rPr>
          <w:b/>
          <w:bCs/>
          <w:u w:val="single"/>
        </w:rPr>
      </w:pPr>
      <w:r w:rsidRPr="00FB1985">
        <w:rPr>
          <w:b/>
          <w:bCs/>
          <w:u w:val="single"/>
        </w:rPr>
        <w:t>Results</w:t>
      </w:r>
      <w:r w:rsidR="000422BA">
        <w:rPr>
          <w:b/>
          <w:bCs/>
          <w:u w:val="single"/>
        </w:rPr>
        <w:t>:</w:t>
      </w:r>
    </w:p>
    <w:p w14:paraId="5D719560" w14:textId="1B95C8EE" w:rsidR="00826AA9" w:rsidRDefault="003E751D" w:rsidP="00EC254C">
      <w:pPr>
        <w:spacing w:line="480" w:lineRule="auto"/>
        <w:jc w:val="both"/>
      </w:pPr>
      <w:r>
        <w:t xml:space="preserve">In response to the TLR9 agonist ODN 2006, </w:t>
      </w:r>
      <w:r w:rsidRPr="00FB1985">
        <w:t>25/42</w:t>
      </w:r>
      <w:r>
        <w:t xml:space="preserve"> (60%)</w:t>
      </w:r>
      <w:r w:rsidRPr="00FB1985">
        <w:t xml:space="preserve"> patient samples showed an </w:t>
      </w:r>
      <w:r w:rsidRPr="00FB1985">
        <w:rPr>
          <w:b/>
          <w:bCs/>
          <w:i/>
          <w:iCs/>
        </w:rPr>
        <w:t>increase</w:t>
      </w:r>
      <w:r w:rsidRPr="00FB1985">
        <w:t xml:space="preserve"> in CLL cell migration, whilst the remaining 17/42</w:t>
      </w:r>
      <w:r>
        <w:t xml:space="preserve"> (40%)</w:t>
      </w:r>
      <w:r w:rsidRPr="00FB1985">
        <w:t xml:space="preserve"> showed either </w:t>
      </w:r>
      <w:r w:rsidRPr="00FB1985">
        <w:rPr>
          <w:b/>
          <w:bCs/>
          <w:i/>
          <w:iCs/>
        </w:rPr>
        <w:t xml:space="preserve">no change </w:t>
      </w:r>
      <w:r w:rsidRPr="00FB1985">
        <w:t>or a</w:t>
      </w:r>
      <w:r w:rsidRPr="00FB1985">
        <w:rPr>
          <w:b/>
          <w:bCs/>
          <w:i/>
          <w:iCs/>
        </w:rPr>
        <w:t xml:space="preserve"> decrease</w:t>
      </w:r>
      <w:r w:rsidRPr="00FB1985">
        <w:t xml:space="preserve"> in </w:t>
      </w:r>
      <w:r>
        <w:t xml:space="preserve">CLL cell </w:t>
      </w:r>
      <w:r w:rsidRPr="00FB1985">
        <w:t xml:space="preserve">migration; we therefore </w:t>
      </w:r>
      <w:r w:rsidRPr="006A2D4F">
        <w:t xml:space="preserve">identified a dichotomous migratory response to TLR9 signalling </w:t>
      </w:r>
      <w:r w:rsidR="005D3FDA" w:rsidRPr="006A2D4F">
        <w:t xml:space="preserve">and </w:t>
      </w:r>
      <w:r w:rsidRPr="00FB1985">
        <w:t>categorised our cohort into two subgroups: ‘Responders’ and ‘Non/Reverse Responders’.</w:t>
      </w:r>
      <w:r w:rsidR="005D3FDA">
        <w:t xml:space="preserve"> </w:t>
      </w:r>
      <w:r w:rsidR="00967455" w:rsidRPr="00FB1985">
        <w:t>Interestingly, the observed dichotomy was associated with IGHV mutational status</w:t>
      </w:r>
      <w:r w:rsidR="00225D44">
        <w:t xml:space="preserve">; </w:t>
      </w:r>
      <w:r w:rsidR="00967455" w:rsidRPr="00FB1985">
        <w:t>14/17 (82%) IGHV-</w:t>
      </w:r>
      <w:r w:rsidR="00967455" w:rsidRPr="00FB1985">
        <w:lastRenderedPageBreak/>
        <w:t>mutated (M-CLL) samples were categorised as Responders, whilst IGHV-</w:t>
      </w:r>
      <w:proofErr w:type="spellStart"/>
      <w:r w:rsidR="00967455" w:rsidRPr="00FB1985">
        <w:t>unmutated</w:t>
      </w:r>
      <w:proofErr w:type="spellEnd"/>
      <w:r w:rsidR="00967455" w:rsidRPr="00FB1985">
        <w:t xml:space="preserve"> (U-CLL) s</w:t>
      </w:r>
      <w:r w:rsidR="00225D44">
        <w:t>amples</w:t>
      </w:r>
      <w:r w:rsidR="00967455" w:rsidRPr="00FB1985">
        <w:t xml:space="preserve"> showed a heterogeneous response (i.e., 11/25 (44%) Responders and 14/25 (56%) Non/Reverse Responders). </w:t>
      </w:r>
    </w:p>
    <w:p w14:paraId="0BBDDB8E" w14:textId="5DAE5C1B" w:rsidR="00967455" w:rsidRPr="006B2324" w:rsidRDefault="000422BA" w:rsidP="00EC254C">
      <w:pPr>
        <w:spacing w:line="480" w:lineRule="auto"/>
        <w:jc w:val="both"/>
      </w:pPr>
      <w:r>
        <w:t xml:space="preserve">Previous studies have shown that </w:t>
      </w:r>
      <w:r w:rsidR="00967455" w:rsidRPr="00FB1985">
        <w:t>U-CLL cells exhibit higher levels of constitutive BCR activation</w:t>
      </w:r>
      <w:r w:rsidR="002E2F2C" w:rsidRPr="005D3FDA">
        <w:rPr>
          <w:vertAlign w:val="superscript"/>
        </w:rPr>
        <w:t>2</w:t>
      </w:r>
      <w:r w:rsidR="00967455" w:rsidRPr="00FB1985">
        <w:t xml:space="preserve">, relative to M-CLL cells. In </w:t>
      </w:r>
      <w:r>
        <w:t>this study</w:t>
      </w:r>
      <w:r w:rsidR="00967455" w:rsidRPr="00FB1985">
        <w:t xml:space="preserve">, U-CLL samples showed a significantly higher basal expression of the B-cell activation marker CD69, and the migratory response to ODN 2006 </w:t>
      </w:r>
      <w:r w:rsidR="00967455" w:rsidRPr="00972521">
        <w:rPr>
          <w:b/>
        </w:rPr>
        <w:t>negatively</w:t>
      </w:r>
      <w:r w:rsidR="00967455" w:rsidRPr="00FB1985">
        <w:t xml:space="preserve"> correlated with </w:t>
      </w:r>
      <w:r w:rsidR="00967455" w:rsidRPr="00A1344D">
        <w:t>both</w:t>
      </w:r>
      <w:r w:rsidR="00967455" w:rsidRPr="00FB1985">
        <w:t xml:space="preserve"> CD19 expression and basal migration. We therefore hypothesised that the most activated U-CLL cells </w:t>
      </w:r>
      <w:r w:rsidR="00967455">
        <w:t xml:space="preserve">had </w:t>
      </w:r>
      <w:r w:rsidR="00967455" w:rsidRPr="00FB1985">
        <w:t>reach</w:t>
      </w:r>
      <w:r w:rsidR="00967455">
        <w:t>ed</w:t>
      </w:r>
      <w:r w:rsidR="00967455" w:rsidRPr="00FB1985">
        <w:t xml:space="preserve"> their maximal migratory capacity through BCR-sig</w:t>
      </w:r>
      <w:r w:rsidR="00967455" w:rsidRPr="006B2324">
        <w:t xml:space="preserve">nalling-alone and were consequently unable to respond to TLR9 activation. </w:t>
      </w:r>
    </w:p>
    <w:p w14:paraId="0D9C8100" w14:textId="23D2D74E" w:rsidR="00967455" w:rsidRPr="00FB1985" w:rsidRDefault="00967455" w:rsidP="00EC254C">
      <w:pPr>
        <w:spacing w:line="480" w:lineRule="auto"/>
        <w:jc w:val="both"/>
      </w:pPr>
      <w:r w:rsidRPr="00FB1985">
        <w:t>Using mathematical modelling, we simulate</w:t>
      </w:r>
      <w:r>
        <w:t>d</w:t>
      </w:r>
      <w:r w:rsidRPr="00FB1985">
        <w:t xml:space="preserve"> BCR and TLR9 stimulation in M-CLL and U-CLL cells. </w:t>
      </w:r>
      <w:r w:rsidR="005D38FD">
        <w:t>Consistent with our laboratory findings</w:t>
      </w:r>
      <w:r w:rsidRPr="00FB1985">
        <w:t xml:space="preserve">, our simulations showed M-CLL cells to be responsive to TLR9 activation and U-CLL cells to be unresponsive. Strikingly, introducing a </w:t>
      </w:r>
      <w:proofErr w:type="spellStart"/>
      <w:r w:rsidRPr="00FB1985">
        <w:t>Bruton’s</w:t>
      </w:r>
      <w:proofErr w:type="spellEnd"/>
      <w:r w:rsidRPr="00FB1985">
        <w:t xml:space="preserve"> Tyrosine Kinase inhibitor </w:t>
      </w:r>
      <w:r w:rsidR="005D38FD" w:rsidRPr="00FB1985">
        <w:t>(BTK</w:t>
      </w:r>
      <w:r w:rsidR="005D38FD">
        <w:t>i</w:t>
      </w:r>
      <w:r w:rsidR="005D38FD" w:rsidRPr="00FB1985">
        <w:t xml:space="preserve">) </w:t>
      </w:r>
      <w:r w:rsidRPr="00FB1985">
        <w:t>into the simulation (to repress BCR-signalling), resulted in a renewed responsiveness of U-CLL cells to TLR9 activation. In support of this model, we have since identified a subset of U-CLL Non/Reverse Responder samples that become ‘Sensitised’ to TLR9 activation</w:t>
      </w:r>
      <w:r w:rsidR="005D3FDA">
        <w:t xml:space="preserve">. In these samples, </w:t>
      </w:r>
      <w:r w:rsidR="002E2F2C">
        <w:t xml:space="preserve">the TLR9 agonist, </w:t>
      </w:r>
      <w:r w:rsidRPr="00FB1985">
        <w:t>ODN 2006</w:t>
      </w:r>
      <w:r w:rsidR="002E2F2C">
        <w:t>, induced</w:t>
      </w:r>
      <w:r w:rsidRPr="00FB1985">
        <w:t xml:space="preserve"> </w:t>
      </w:r>
      <w:r w:rsidR="002E2F2C">
        <w:t xml:space="preserve">an </w:t>
      </w:r>
      <w:r w:rsidRPr="00FB1985">
        <w:rPr>
          <w:b/>
          <w:bCs/>
          <w:i/>
          <w:iCs/>
        </w:rPr>
        <w:t>increase</w:t>
      </w:r>
      <w:r w:rsidRPr="00FB1985">
        <w:t xml:space="preserve"> in CLL cell migration </w:t>
      </w:r>
      <w:r w:rsidRPr="00FB1985">
        <w:rPr>
          <w:b/>
          <w:bCs/>
        </w:rPr>
        <w:t>in the presence of the BTK</w:t>
      </w:r>
      <w:r w:rsidR="005D38FD">
        <w:rPr>
          <w:b/>
          <w:bCs/>
        </w:rPr>
        <w:t>i,</w:t>
      </w:r>
      <w:r w:rsidRPr="00FB1985">
        <w:rPr>
          <w:b/>
          <w:bCs/>
        </w:rPr>
        <w:t xml:space="preserve"> </w:t>
      </w:r>
      <w:proofErr w:type="spellStart"/>
      <w:r w:rsidRPr="00FB1985">
        <w:rPr>
          <w:b/>
          <w:bCs/>
        </w:rPr>
        <w:t>ibrutinib</w:t>
      </w:r>
      <w:proofErr w:type="spellEnd"/>
      <w:r w:rsidR="005D38FD">
        <w:t>.</w:t>
      </w:r>
      <w:r>
        <w:t xml:space="preserve"> </w:t>
      </w:r>
      <w:r w:rsidR="005D38FD">
        <w:t>T</w:t>
      </w:r>
      <w:r w:rsidRPr="00FB1985">
        <w:t>h</w:t>
      </w:r>
      <w:r>
        <w:t xml:space="preserve">is suggests </w:t>
      </w:r>
      <w:r w:rsidRPr="00FB1985">
        <w:t xml:space="preserve">a potential switch from BCR to TLR9 signalling in some U-CLL </w:t>
      </w:r>
      <w:r w:rsidRPr="005E1974">
        <w:t>patients</w:t>
      </w:r>
      <w:r w:rsidR="00C6237D">
        <w:t xml:space="preserve">, </w:t>
      </w:r>
      <w:r w:rsidR="00355705">
        <w:t xml:space="preserve">and </w:t>
      </w:r>
      <w:r w:rsidR="00355705" w:rsidRPr="00FB1985">
        <w:t>i</w:t>
      </w:r>
      <w:r w:rsidR="00355705">
        <w:t>mplicates</w:t>
      </w:r>
      <w:r w:rsidR="00355705" w:rsidRPr="00FB1985">
        <w:t xml:space="preserve"> TLR9 signalling as</w:t>
      </w:r>
      <w:r w:rsidR="00355705">
        <w:t xml:space="preserve"> a</w:t>
      </w:r>
      <w:r w:rsidR="005D38FD">
        <w:t xml:space="preserve"> tumour</w:t>
      </w:r>
      <w:r w:rsidR="00B333E3">
        <w:t xml:space="preserve"> escape</w:t>
      </w:r>
      <w:r w:rsidR="00355705">
        <w:t xml:space="preserve"> mechanism </w:t>
      </w:r>
      <w:r w:rsidR="005D38FD">
        <w:t>following</w:t>
      </w:r>
      <w:r w:rsidR="00355705">
        <w:t xml:space="preserve"> BTK</w:t>
      </w:r>
      <w:r w:rsidR="005D38FD">
        <w:t>i therapy</w:t>
      </w:r>
      <w:r w:rsidR="00355705">
        <w:t xml:space="preserve">. </w:t>
      </w:r>
      <w:r w:rsidR="00826AA9" w:rsidRPr="005E1974">
        <w:t>Additionally, in the Responder subgroup, dual inhibition of BTK and TLR9 induced a strong and synergistic reduction in CLL cell migration.</w:t>
      </w:r>
    </w:p>
    <w:p w14:paraId="42F03765" w14:textId="77777777" w:rsidR="00F1416E" w:rsidRDefault="00967455" w:rsidP="00EC254C">
      <w:pPr>
        <w:spacing w:line="480" w:lineRule="auto"/>
        <w:jc w:val="both"/>
        <w:rPr>
          <w:b/>
          <w:bCs/>
          <w:u w:val="single"/>
        </w:rPr>
      </w:pPr>
      <w:r w:rsidRPr="00FB1985">
        <w:rPr>
          <w:b/>
          <w:bCs/>
          <w:u w:val="single"/>
        </w:rPr>
        <w:t>Conclusions:</w:t>
      </w:r>
    </w:p>
    <w:p w14:paraId="1D685EFD" w14:textId="6B450DD2" w:rsidR="00F739B5" w:rsidRDefault="00F1416E" w:rsidP="00EC254C">
      <w:pPr>
        <w:spacing w:line="480" w:lineRule="auto"/>
        <w:jc w:val="both"/>
      </w:pPr>
      <w:r>
        <w:t xml:space="preserve">CLL patient plasma contains </w:t>
      </w:r>
      <w:r w:rsidR="008B722F">
        <w:t xml:space="preserve">high levels of </w:t>
      </w:r>
      <w:proofErr w:type="spellStart"/>
      <w:r w:rsidR="008B722F">
        <w:t>unmethylated</w:t>
      </w:r>
      <w:proofErr w:type="spellEnd"/>
      <w:r w:rsidR="008B722F">
        <w:t xml:space="preserve"> DNA</w:t>
      </w:r>
      <w:r w:rsidR="008B722F" w:rsidRPr="008B722F">
        <w:rPr>
          <w:vertAlign w:val="superscript"/>
        </w:rPr>
        <w:t>1</w:t>
      </w:r>
      <w:r w:rsidR="008B722F">
        <w:t xml:space="preserve">, </w:t>
      </w:r>
      <w:r w:rsidR="0073512A">
        <w:t xml:space="preserve">which has the </w:t>
      </w:r>
      <w:r w:rsidR="008B722F">
        <w:t>potential</w:t>
      </w:r>
      <w:r w:rsidR="0073512A">
        <w:t xml:space="preserve"> to</w:t>
      </w:r>
      <w:r>
        <w:t xml:space="preserve"> promote tumour escape in TLR9-responsive patients. We therefore hypothesise that a </w:t>
      </w:r>
      <w:r w:rsidRPr="00FB1985">
        <w:t xml:space="preserve">BCR/TLR9 dual targeted treatment approach may benefit both </w:t>
      </w:r>
      <w:r>
        <w:t xml:space="preserve">TLR9 </w:t>
      </w:r>
      <w:r w:rsidRPr="00FB1985">
        <w:t xml:space="preserve">‘Responder’ and </w:t>
      </w:r>
      <w:r>
        <w:t xml:space="preserve">BTKi </w:t>
      </w:r>
      <w:r w:rsidRPr="00FB1985">
        <w:t>‘Sensitised’ patients.</w:t>
      </w:r>
      <w:r>
        <w:t xml:space="preserve"> </w:t>
      </w:r>
      <w:r w:rsidR="00F23E8E" w:rsidRPr="00FB1985">
        <w:t xml:space="preserve">Since both the </w:t>
      </w:r>
      <w:r w:rsidR="00F23E8E" w:rsidRPr="00FB1985">
        <w:lastRenderedPageBreak/>
        <w:t>BCR and TLR9 signalling pathways</w:t>
      </w:r>
      <w:r w:rsidR="00F23E8E">
        <w:t xml:space="preserve"> culminate in </w:t>
      </w:r>
      <w:r w:rsidR="00F23E8E" w:rsidRPr="00FB1985">
        <w:t>NF</w:t>
      </w:r>
      <w:r w:rsidR="00F23E8E" w:rsidRPr="00FB1985">
        <w:rPr>
          <w:rFonts w:ascii="Symbol" w:hAnsi="Symbol"/>
        </w:rPr>
        <w:t></w:t>
      </w:r>
      <w:r w:rsidR="00F23E8E" w:rsidRPr="00FB1985">
        <w:t>B activation</w:t>
      </w:r>
      <w:r w:rsidR="00F23E8E">
        <w:t xml:space="preserve">, </w:t>
      </w:r>
      <w:r w:rsidR="00F23E8E" w:rsidRPr="00FB1985">
        <w:t>we are currently investigating components of NF</w:t>
      </w:r>
      <w:r w:rsidR="00F23E8E" w:rsidRPr="00FB1985">
        <w:rPr>
          <w:rFonts w:ascii="Symbol" w:hAnsi="Symbol"/>
        </w:rPr>
        <w:t></w:t>
      </w:r>
      <w:r w:rsidR="00F23E8E" w:rsidRPr="00FB1985">
        <w:t xml:space="preserve">B signalling </w:t>
      </w:r>
      <w:r w:rsidR="003C1D7A">
        <w:t xml:space="preserve">as potential novel </w:t>
      </w:r>
      <w:r w:rsidR="00355705">
        <w:t xml:space="preserve">therapeutic </w:t>
      </w:r>
      <w:r w:rsidR="003C1D7A">
        <w:t xml:space="preserve">targets. </w:t>
      </w:r>
    </w:p>
    <w:p w14:paraId="044EDBDE" w14:textId="4E2F794F" w:rsidR="00904DAA" w:rsidRPr="00904DAA" w:rsidRDefault="00972521" w:rsidP="00EC254C">
      <w:pPr>
        <w:spacing w:line="240" w:lineRule="auto"/>
        <w:jc w:val="both"/>
        <w:rPr>
          <w:sz w:val="16"/>
        </w:rPr>
      </w:pPr>
      <w:r w:rsidRPr="00972521">
        <w:rPr>
          <w:sz w:val="16"/>
          <w:vertAlign w:val="superscript"/>
        </w:rPr>
        <w:t>1</w:t>
      </w:r>
      <w:r w:rsidR="005D3FDA">
        <w:rPr>
          <w:sz w:val="16"/>
        </w:rPr>
        <w:t xml:space="preserve"> </w:t>
      </w:r>
      <w:r w:rsidR="00904DAA" w:rsidRPr="00904DAA">
        <w:rPr>
          <w:sz w:val="16"/>
        </w:rPr>
        <w:t xml:space="preserve">Kennedy E, Coulter E, </w:t>
      </w:r>
      <w:proofErr w:type="spellStart"/>
      <w:r w:rsidR="00904DAA" w:rsidRPr="00904DAA">
        <w:rPr>
          <w:sz w:val="16"/>
        </w:rPr>
        <w:t>Halliwell</w:t>
      </w:r>
      <w:proofErr w:type="spellEnd"/>
      <w:r w:rsidR="00904DAA" w:rsidRPr="00904DAA">
        <w:rPr>
          <w:sz w:val="16"/>
        </w:rPr>
        <w:t xml:space="preserve"> E, </w:t>
      </w:r>
      <w:proofErr w:type="spellStart"/>
      <w:r w:rsidR="00904DAA" w:rsidRPr="00904DAA">
        <w:rPr>
          <w:sz w:val="16"/>
        </w:rPr>
        <w:t>Profitos-Peleja</w:t>
      </w:r>
      <w:proofErr w:type="spellEnd"/>
      <w:r w:rsidR="00904DAA" w:rsidRPr="00904DAA">
        <w:rPr>
          <w:sz w:val="16"/>
        </w:rPr>
        <w:t xml:space="preserve"> N, </w:t>
      </w:r>
      <w:proofErr w:type="spellStart"/>
      <w:r w:rsidR="00904DAA" w:rsidRPr="00904DAA">
        <w:rPr>
          <w:sz w:val="16"/>
        </w:rPr>
        <w:t>Walsby</w:t>
      </w:r>
      <w:proofErr w:type="spellEnd"/>
      <w:r w:rsidR="00904DAA" w:rsidRPr="00904DAA">
        <w:rPr>
          <w:sz w:val="16"/>
        </w:rPr>
        <w:t xml:space="preserve"> E, Clark B, Phillips EH, Burley TA, Mitchell S, Devereux S, </w:t>
      </w:r>
      <w:proofErr w:type="spellStart"/>
      <w:r w:rsidR="00904DAA" w:rsidRPr="00904DAA">
        <w:rPr>
          <w:sz w:val="16"/>
        </w:rPr>
        <w:t>Fegan</w:t>
      </w:r>
      <w:proofErr w:type="spellEnd"/>
      <w:r w:rsidR="00904DAA" w:rsidRPr="00904DAA">
        <w:rPr>
          <w:sz w:val="16"/>
        </w:rPr>
        <w:t xml:space="preserve"> CD, Jones CI, Johnston R, </w:t>
      </w:r>
      <w:proofErr w:type="spellStart"/>
      <w:r w:rsidR="00904DAA" w:rsidRPr="00904DAA">
        <w:rPr>
          <w:sz w:val="16"/>
        </w:rPr>
        <w:t>Chevassut</w:t>
      </w:r>
      <w:proofErr w:type="spellEnd"/>
      <w:r w:rsidR="00904DAA" w:rsidRPr="00904DAA">
        <w:rPr>
          <w:sz w:val="16"/>
        </w:rPr>
        <w:t xml:space="preserve"> T, Schulz R, </w:t>
      </w:r>
      <w:proofErr w:type="spellStart"/>
      <w:r w:rsidR="00904DAA" w:rsidRPr="00904DAA">
        <w:rPr>
          <w:sz w:val="16"/>
        </w:rPr>
        <w:t>Seiffert</w:t>
      </w:r>
      <w:proofErr w:type="spellEnd"/>
      <w:r w:rsidR="00904DAA" w:rsidRPr="00904DAA">
        <w:rPr>
          <w:sz w:val="16"/>
        </w:rPr>
        <w:t xml:space="preserve"> M, </w:t>
      </w:r>
      <w:proofErr w:type="spellStart"/>
      <w:r w:rsidR="00904DAA" w:rsidRPr="00904DAA">
        <w:rPr>
          <w:sz w:val="16"/>
        </w:rPr>
        <w:t>Agathanggelou</w:t>
      </w:r>
      <w:proofErr w:type="spellEnd"/>
      <w:r w:rsidR="00904DAA" w:rsidRPr="00904DAA">
        <w:rPr>
          <w:sz w:val="16"/>
        </w:rPr>
        <w:t xml:space="preserve"> A, </w:t>
      </w:r>
      <w:proofErr w:type="spellStart"/>
      <w:r w:rsidR="00904DAA" w:rsidRPr="00904DAA">
        <w:rPr>
          <w:sz w:val="16"/>
        </w:rPr>
        <w:t>Oldreive</w:t>
      </w:r>
      <w:proofErr w:type="spellEnd"/>
      <w:r w:rsidR="00904DAA" w:rsidRPr="00904DAA">
        <w:rPr>
          <w:sz w:val="16"/>
        </w:rPr>
        <w:t xml:space="preserve"> C, Davies N, </w:t>
      </w:r>
      <w:proofErr w:type="spellStart"/>
      <w:r w:rsidR="00904DAA" w:rsidRPr="00904DAA">
        <w:rPr>
          <w:sz w:val="16"/>
        </w:rPr>
        <w:t>Stankovic</w:t>
      </w:r>
      <w:proofErr w:type="spellEnd"/>
      <w:r w:rsidR="00904DAA" w:rsidRPr="00904DAA">
        <w:rPr>
          <w:sz w:val="16"/>
        </w:rPr>
        <w:t xml:space="preserve"> T, </w:t>
      </w:r>
      <w:proofErr w:type="spellStart"/>
      <w:r w:rsidR="00904DAA" w:rsidRPr="00904DAA">
        <w:rPr>
          <w:sz w:val="16"/>
        </w:rPr>
        <w:t>Liloglou</w:t>
      </w:r>
      <w:proofErr w:type="spellEnd"/>
      <w:r w:rsidR="00904DAA" w:rsidRPr="00904DAA">
        <w:rPr>
          <w:sz w:val="16"/>
        </w:rPr>
        <w:t xml:space="preserve"> T, Pepper C, Pepper AGS. TLR9 expression in chronic lymphocytic </w:t>
      </w:r>
      <w:proofErr w:type="spellStart"/>
      <w:r w:rsidR="00904DAA" w:rsidRPr="00904DAA">
        <w:rPr>
          <w:sz w:val="16"/>
        </w:rPr>
        <w:t>leukemia</w:t>
      </w:r>
      <w:proofErr w:type="spellEnd"/>
      <w:r w:rsidR="00904DAA" w:rsidRPr="00904DAA">
        <w:rPr>
          <w:sz w:val="16"/>
        </w:rPr>
        <w:t xml:space="preserve"> identifies a </w:t>
      </w:r>
      <w:proofErr w:type="spellStart"/>
      <w:r w:rsidR="00904DAA" w:rsidRPr="00904DAA">
        <w:rPr>
          <w:sz w:val="16"/>
        </w:rPr>
        <w:t>promigratory</w:t>
      </w:r>
      <w:proofErr w:type="spellEnd"/>
      <w:r w:rsidR="00904DAA" w:rsidRPr="00904DAA">
        <w:rPr>
          <w:sz w:val="16"/>
        </w:rPr>
        <w:t xml:space="preserve"> subpopulation and novel therapeutic target. Blood. 2021 Jun 3</w:t>
      </w:r>
      <w:proofErr w:type="gramStart"/>
      <w:r w:rsidR="00904DAA" w:rsidRPr="00904DAA">
        <w:rPr>
          <w:sz w:val="16"/>
        </w:rPr>
        <w:t>;137</w:t>
      </w:r>
      <w:proofErr w:type="gramEnd"/>
      <w:r w:rsidR="00904DAA" w:rsidRPr="00904DAA">
        <w:rPr>
          <w:sz w:val="16"/>
        </w:rPr>
        <w:t xml:space="preserve">(22):3064-3078. </w:t>
      </w:r>
      <w:proofErr w:type="spellStart"/>
      <w:proofErr w:type="gramStart"/>
      <w:r w:rsidR="00904DAA" w:rsidRPr="00904DAA">
        <w:rPr>
          <w:sz w:val="16"/>
        </w:rPr>
        <w:t>doi</w:t>
      </w:r>
      <w:proofErr w:type="spellEnd"/>
      <w:proofErr w:type="gramEnd"/>
      <w:r w:rsidR="00904DAA" w:rsidRPr="00904DAA">
        <w:rPr>
          <w:sz w:val="16"/>
        </w:rPr>
        <w:t>: 10.1182/blood.2020005964. PMID: 33512408.</w:t>
      </w:r>
    </w:p>
    <w:p w14:paraId="5DB0D104" w14:textId="53D190EF" w:rsidR="005D38FD" w:rsidRPr="005D3FDA" w:rsidRDefault="005D38FD" w:rsidP="00EC254C">
      <w:pPr>
        <w:spacing w:after="0" w:line="240" w:lineRule="auto"/>
        <w:jc w:val="both"/>
        <w:rPr>
          <w:rFonts w:eastAsia="Times New Roman" w:cstheme="minorHAnsi"/>
          <w:sz w:val="16"/>
          <w:szCs w:val="16"/>
        </w:rPr>
      </w:pPr>
      <w:r w:rsidRPr="005D3FDA">
        <w:rPr>
          <w:rFonts w:eastAsia="Times New Roman" w:cstheme="minorHAnsi"/>
          <w:color w:val="212121"/>
          <w:sz w:val="16"/>
          <w:szCs w:val="16"/>
          <w:shd w:val="clear" w:color="auto" w:fill="FFFFFF"/>
          <w:vertAlign w:val="superscript"/>
        </w:rPr>
        <w:t xml:space="preserve">2 </w:t>
      </w:r>
      <w:r w:rsidRPr="005D3FDA">
        <w:rPr>
          <w:rFonts w:eastAsia="Times New Roman" w:cstheme="minorHAnsi"/>
          <w:color w:val="212121"/>
          <w:sz w:val="16"/>
          <w:szCs w:val="16"/>
          <w:shd w:val="clear" w:color="auto" w:fill="FFFFFF"/>
        </w:rPr>
        <w:t xml:space="preserve">Stevenson FK, </w:t>
      </w:r>
      <w:proofErr w:type="spellStart"/>
      <w:r w:rsidRPr="005D3FDA">
        <w:rPr>
          <w:rFonts w:eastAsia="Times New Roman" w:cstheme="minorHAnsi"/>
          <w:color w:val="212121"/>
          <w:sz w:val="16"/>
          <w:szCs w:val="16"/>
          <w:shd w:val="clear" w:color="auto" w:fill="FFFFFF"/>
        </w:rPr>
        <w:t>Krysov</w:t>
      </w:r>
      <w:proofErr w:type="spellEnd"/>
      <w:r w:rsidRPr="005D3FDA">
        <w:rPr>
          <w:rFonts w:eastAsia="Times New Roman" w:cstheme="minorHAnsi"/>
          <w:color w:val="212121"/>
          <w:sz w:val="16"/>
          <w:szCs w:val="16"/>
          <w:shd w:val="clear" w:color="auto" w:fill="FFFFFF"/>
        </w:rPr>
        <w:t xml:space="preserve"> S, Davies AJ, Steele AJ, </w:t>
      </w:r>
      <w:proofErr w:type="spellStart"/>
      <w:r w:rsidRPr="005D3FDA">
        <w:rPr>
          <w:rFonts w:eastAsia="Times New Roman" w:cstheme="minorHAnsi"/>
          <w:color w:val="212121"/>
          <w:sz w:val="16"/>
          <w:szCs w:val="16"/>
          <w:shd w:val="clear" w:color="auto" w:fill="FFFFFF"/>
        </w:rPr>
        <w:t>Packham</w:t>
      </w:r>
      <w:proofErr w:type="spellEnd"/>
      <w:r w:rsidRPr="005D3FDA">
        <w:rPr>
          <w:rFonts w:eastAsia="Times New Roman" w:cstheme="minorHAnsi"/>
          <w:color w:val="212121"/>
          <w:sz w:val="16"/>
          <w:szCs w:val="16"/>
          <w:shd w:val="clear" w:color="auto" w:fill="FFFFFF"/>
        </w:rPr>
        <w:t xml:space="preserve"> G. B-cell receptor </w:t>
      </w:r>
      <w:proofErr w:type="spellStart"/>
      <w:r w:rsidRPr="005D3FDA">
        <w:rPr>
          <w:rFonts w:eastAsia="Times New Roman" w:cstheme="minorHAnsi"/>
          <w:color w:val="212121"/>
          <w:sz w:val="16"/>
          <w:szCs w:val="16"/>
          <w:shd w:val="clear" w:color="auto" w:fill="FFFFFF"/>
        </w:rPr>
        <w:t>signaling</w:t>
      </w:r>
      <w:proofErr w:type="spellEnd"/>
      <w:r w:rsidRPr="005D3FDA">
        <w:rPr>
          <w:rFonts w:eastAsia="Times New Roman" w:cstheme="minorHAnsi"/>
          <w:color w:val="212121"/>
          <w:sz w:val="16"/>
          <w:szCs w:val="16"/>
          <w:shd w:val="clear" w:color="auto" w:fill="FFFFFF"/>
        </w:rPr>
        <w:t xml:space="preserve"> in chronic lymphocytic </w:t>
      </w:r>
      <w:proofErr w:type="spellStart"/>
      <w:r w:rsidRPr="005D3FDA">
        <w:rPr>
          <w:rFonts w:eastAsia="Times New Roman" w:cstheme="minorHAnsi"/>
          <w:color w:val="212121"/>
          <w:sz w:val="16"/>
          <w:szCs w:val="16"/>
          <w:shd w:val="clear" w:color="auto" w:fill="FFFFFF"/>
        </w:rPr>
        <w:t>leukemia</w:t>
      </w:r>
      <w:proofErr w:type="spellEnd"/>
      <w:r w:rsidRPr="005D3FDA">
        <w:rPr>
          <w:rFonts w:eastAsia="Times New Roman" w:cstheme="minorHAnsi"/>
          <w:color w:val="212121"/>
          <w:sz w:val="16"/>
          <w:szCs w:val="16"/>
          <w:shd w:val="clear" w:color="auto" w:fill="FFFFFF"/>
        </w:rPr>
        <w:t>. Blood. 2011 Oct 20</w:t>
      </w:r>
      <w:proofErr w:type="gramStart"/>
      <w:r w:rsidRPr="005D3FDA">
        <w:rPr>
          <w:rFonts w:eastAsia="Times New Roman" w:cstheme="minorHAnsi"/>
          <w:color w:val="212121"/>
          <w:sz w:val="16"/>
          <w:szCs w:val="16"/>
          <w:shd w:val="clear" w:color="auto" w:fill="FFFFFF"/>
        </w:rPr>
        <w:t>;118</w:t>
      </w:r>
      <w:proofErr w:type="gramEnd"/>
      <w:r w:rsidRPr="005D3FDA">
        <w:rPr>
          <w:rFonts w:eastAsia="Times New Roman" w:cstheme="minorHAnsi"/>
          <w:color w:val="212121"/>
          <w:sz w:val="16"/>
          <w:szCs w:val="16"/>
          <w:shd w:val="clear" w:color="auto" w:fill="FFFFFF"/>
        </w:rPr>
        <w:t xml:space="preserve">(16):4313-20. </w:t>
      </w:r>
      <w:proofErr w:type="spellStart"/>
      <w:proofErr w:type="gramStart"/>
      <w:r w:rsidRPr="005D3FDA">
        <w:rPr>
          <w:rFonts w:eastAsia="Times New Roman" w:cstheme="minorHAnsi"/>
          <w:color w:val="212121"/>
          <w:sz w:val="16"/>
          <w:szCs w:val="16"/>
          <w:shd w:val="clear" w:color="auto" w:fill="FFFFFF"/>
        </w:rPr>
        <w:t>doi</w:t>
      </w:r>
      <w:proofErr w:type="spellEnd"/>
      <w:proofErr w:type="gramEnd"/>
      <w:r w:rsidRPr="005D3FDA">
        <w:rPr>
          <w:rFonts w:eastAsia="Times New Roman" w:cstheme="minorHAnsi"/>
          <w:color w:val="212121"/>
          <w:sz w:val="16"/>
          <w:szCs w:val="16"/>
          <w:shd w:val="clear" w:color="auto" w:fill="FFFFFF"/>
        </w:rPr>
        <w:t xml:space="preserve">: 10.1182/blood-2011-06-338855. </w:t>
      </w:r>
      <w:proofErr w:type="spellStart"/>
      <w:r w:rsidRPr="005D3FDA">
        <w:rPr>
          <w:rFonts w:eastAsia="Times New Roman" w:cstheme="minorHAnsi"/>
          <w:color w:val="212121"/>
          <w:sz w:val="16"/>
          <w:szCs w:val="16"/>
          <w:shd w:val="clear" w:color="auto" w:fill="FFFFFF"/>
        </w:rPr>
        <w:t>Epub</w:t>
      </w:r>
      <w:proofErr w:type="spellEnd"/>
      <w:r w:rsidRPr="005D3FDA">
        <w:rPr>
          <w:rFonts w:eastAsia="Times New Roman" w:cstheme="minorHAnsi"/>
          <w:color w:val="212121"/>
          <w:sz w:val="16"/>
          <w:szCs w:val="16"/>
          <w:shd w:val="clear" w:color="auto" w:fill="FFFFFF"/>
        </w:rPr>
        <w:t xml:space="preserve"> 2011 Aug 3. PMID: 21816833.</w:t>
      </w:r>
    </w:p>
    <w:sectPr w:rsidR="005D38FD" w:rsidRPr="005D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FED6B" w16cex:dateUtc="2022-01-05T10:11:00Z"/>
  <w16cex:commentExtensible w16cex:durableId="257FEF4C" w16cex:dateUtc="2022-01-05T10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C78C9F" w16cid:durableId="257FED6B"/>
  <w16cid:commentId w16cid:paraId="29D7A848" w16cid:durableId="257FEF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455"/>
    <w:rsid w:val="0001596F"/>
    <w:rsid w:val="000356C0"/>
    <w:rsid w:val="000422BA"/>
    <w:rsid w:val="000C5CA8"/>
    <w:rsid w:val="001B3F5B"/>
    <w:rsid w:val="001E2EFB"/>
    <w:rsid w:val="00203EF1"/>
    <w:rsid w:val="00225D44"/>
    <w:rsid w:val="00250DF1"/>
    <w:rsid w:val="002E2F2C"/>
    <w:rsid w:val="00355705"/>
    <w:rsid w:val="003C1D7A"/>
    <w:rsid w:val="003D2EE8"/>
    <w:rsid w:val="003E751D"/>
    <w:rsid w:val="00595FBA"/>
    <w:rsid w:val="005A4C77"/>
    <w:rsid w:val="005B414D"/>
    <w:rsid w:val="005D38FD"/>
    <w:rsid w:val="005D3FDA"/>
    <w:rsid w:val="005E1974"/>
    <w:rsid w:val="005E7653"/>
    <w:rsid w:val="006854D0"/>
    <w:rsid w:val="006A2D4F"/>
    <w:rsid w:val="006B2324"/>
    <w:rsid w:val="006C6755"/>
    <w:rsid w:val="0071266C"/>
    <w:rsid w:val="0073512A"/>
    <w:rsid w:val="00826AA9"/>
    <w:rsid w:val="008A58EB"/>
    <w:rsid w:val="008B722F"/>
    <w:rsid w:val="008E20D7"/>
    <w:rsid w:val="008E2B80"/>
    <w:rsid w:val="00904DAA"/>
    <w:rsid w:val="00967455"/>
    <w:rsid w:val="00972521"/>
    <w:rsid w:val="009A6225"/>
    <w:rsid w:val="009C1D0E"/>
    <w:rsid w:val="009E65C4"/>
    <w:rsid w:val="00A1344D"/>
    <w:rsid w:val="00AA0080"/>
    <w:rsid w:val="00B00DB0"/>
    <w:rsid w:val="00B333E3"/>
    <w:rsid w:val="00B7599F"/>
    <w:rsid w:val="00C53749"/>
    <w:rsid w:val="00C573C6"/>
    <w:rsid w:val="00C6237D"/>
    <w:rsid w:val="00D26ED6"/>
    <w:rsid w:val="00D57E84"/>
    <w:rsid w:val="00E04956"/>
    <w:rsid w:val="00E0502C"/>
    <w:rsid w:val="00E4411C"/>
    <w:rsid w:val="00E7404D"/>
    <w:rsid w:val="00EB395E"/>
    <w:rsid w:val="00EC254C"/>
    <w:rsid w:val="00ED16AB"/>
    <w:rsid w:val="00EE1BBA"/>
    <w:rsid w:val="00F1416E"/>
    <w:rsid w:val="00F22881"/>
    <w:rsid w:val="00F2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28A7"/>
  <w15:chartTrackingRefBased/>
  <w15:docId w15:val="{FFC5C3C9-9991-4FC7-98E5-9930FDED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4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3E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3E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D38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Kennedy</dc:creator>
  <cp:keywords/>
  <dc:description/>
  <cp:lastModifiedBy>bsms9pfd</cp:lastModifiedBy>
  <cp:revision>3</cp:revision>
  <dcterms:created xsi:type="dcterms:W3CDTF">2022-01-06T16:56:00Z</dcterms:created>
  <dcterms:modified xsi:type="dcterms:W3CDTF">2022-01-12T11:19:00Z</dcterms:modified>
</cp:coreProperties>
</file>