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Machine-Learning-Based Network Intrusion Detection System (NIDS)</w:t>
      </w:r>
    </w:p>
    <w:p>
      <w:pPr>
        <w:jc w:val="center"/>
      </w:pPr>
      <w:r>
        <w:rPr>
          <w:i/>
          <w:sz w:val="20"/>
        </w:rPr>
        <w:t>CSL236 – Introduction to Artificial Intelligence &amp; Machine Learning | Mid-Term Project</w:t>
      </w:r>
    </w:p>
    <w:p>
      <w:pPr>
        <w:jc w:val="center"/>
      </w:pPr>
      <w:r>
        <w:rPr>
          <w:b/>
        </w:rPr>
        <w:t>Project Report</w:t>
      </w:r>
    </w:p>
    <w:p>
      <w:pPr>
        <w:pStyle w:val="Heading1"/>
      </w:pPr>
      <w:r>
        <w:t>1. Introduction &amp; Problem Statement</w:t>
      </w:r>
    </w:p>
    <w:p>
      <w:pPr>
        <w:pStyle w:val="Heading2"/>
      </w:pPr>
      <w:r>
        <w:t>1.1 Background</w:t>
      </w:r>
    </w:p>
    <w:p>
      <w:r>
        <w:t>A Network Intrusion Detection System (NIDS) monitors network traffic and identifies connections that may represent benign activity or malicious attacks. Modern network traffic contains a large number of flows with different packet, timing, protocol and byte-level characteristics. Manually inspecting such traffic is difficult at scale and can miss patterns associated with attacks. Machine learning can assist by learning relationships between traffic features and known traffic classes and then applying those learned patterns to previously unseen test data.</w:t>
      </w:r>
    </w:p>
    <w:p>
      <w:pPr>
        <w:pStyle w:val="Heading2"/>
      </w:pPr>
      <w:r>
        <w:t>1.2 Problem Statement</w:t>
      </w:r>
    </w:p>
    <w:p>
      <w:r>
        <w:t>The objective of this project is to build a systematic machine-learning pipeline for network intrusion detection. The work focuses on preparing raw network-flow data for machine learning, reducing redundant information, handling invalid values, transforming numerical features where necessary, encoding categorical information, and evaluating multiple classification models for distinguishing benign traffic from different attack classes.</w:t>
      </w:r>
    </w:p>
    <w:p>
      <w:pPr>
        <w:pStyle w:val="Heading2"/>
      </w:pPr>
      <w:r>
        <w:t>1.3 Objectives</w:t>
      </w:r>
    </w:p>
    <w:p>
      <w:pPr>
        <w:pStyle w:val="ListBullet"/>
      </w:pPr>
      <w:r>
        <w:t>Consolidate the compatible network-traffic files into a single dataset.</w:t>
      </w:r>
    </w:p>
    <w:p>
      <w:pPr>
        <w:pStyle w:val="ListBullet"/>
      </w:pPr>
      <w:r>
        <w:t>Explore the dataset, including shape, data types, class distribution and missing-value status.</w:t>
      </w:r>
    </w:p>
    <w:p>
      <w:pPr>
        <w:pStyle w:val="ListBullet"/>
      </w:pPr>
      <w:r>
        <w:t>Apply appropriate preprocessing techniques with a justification for each decision.</w:t>
      </w:r>
    </w:p>
    <w:p>
      <w:pPr>
        <w:pStyle w:val="ListBullet"/>
      </w:pPr>
      <w:r>
        <w:t>Handle invalid negative sentinel values and missing values without introducing data leakage.</w:t>
      </w:r>
    </w:p>
    <w:p>
      <w:pPr>
        <w:pStyle w:val="ListBullet"/>
      </w:pPr>
      <w:r>
        <w:t>Encode categorical and target variables appropriately.</w:t>
      </w:r>
    </w:p>
    <w:p>
      <w:pPr>
        <w:pStyle w:val="ListBullet"/>
      </w:pPr>
      <w:r>
        <w:t>Reduce feature redundancy using correlation-based feature selection.</w:t>
      </w:r>
    </w:p>
    <w:p>
      <w:pPr>
        <w:pStyle w:val="ListBullet"/>
      </w:pPr>
      <w:r>
        <w:t>Investigate outliers and retain legitimate extreme network-flow observations where appropriate.</w:t>
      </w:r>
    </w:p>
    <w:p>
      <w:pPr>
        <w:pStyle w:val="ListBullet"/>
      </w:pPr>
      <w:r>
        <w:t>Train and compare Logistic Regression, Random Forest and XGBoost models.</w:t>
      </w:r>
    </w:p>
    <w:p>
      <w:pPr>
        <w:pStyle w:val="Heading1"/>
      </w:pPr>
      <w:r>
        <w:t>2. Dataset Description</w:t>
      </w:r>
    </w:p>
    <w:p>
      <w:pPr>
        <w:pStyle w:val="Heading2"/>
      </w:pPr>
      <w:r>
        <w:t>2.1 Original Dataset and Consolidation</w:t>
      </w:r>
    </w:p>
    <w:p>
      <w:r>
        <w:t>The original dataset was provided as eight Parquet files representing different network-traffic scenarios. Each file contained the same 78-column schema. The files were inspected for dimensions and schema compatibility before being combined. Because the schemas were compatible, the eight files were consolidated into a single working dataset containing 2,313,810 records and 78 columns.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5"/>
              </w:rPr>
              <w:t>Dataset/File</w:t>
            </w:r>
          </w:p>
        </w:tc>
        <w:tc>
          <w:tcPr>
            <w:tcW w:type="dxa" w:w="2556"/>
            <w:vAlign w:val="center"/>
            <w:shd w:fill="D9EAF7"/>
          </w:tcPr>
          <w:p>
            <w:pPr>
              <w:spacing w:after="0"/>
            </w:pPr>
            <w:r/>
            <w:r>
              <w:rPr>
                <w:rFonts w:ascii="Aptos" w:hAnsi="Aptos"/>
                <w:b/>
                <w:sz w:val="15"/>
              </w:rPr>
              <w:t>Rows</w:t>
            </w:r>
          </w:p>
        </w:tc>
        <w:tc>
          <w:tcPr>
            <w:tcW w:type="dxa" w:w="2556"/>
            <w:vAlign w:val="center"/>
            <w:shd w:fill="D9EAF7"/>
          </w:tcPr>
          <w:p>
            <w:pPr>
              <w:spacing w:after="0"/>
            </w:pPr>
            <w:r/>
            <w:r>
              <w:rPr>
                <w:rFonts w:ascii="Aptos" w:hAnsi="Aptos"/>
                <w:b/>
                <w:sz w:val="15"/>
              </w:rPr>
              <w:t>Columns</w:t>
            </w:r>
          </w:p>
        </w:tc>
        <w:tc>
          <w:tcPr>
            <w:tcW w:type="dxa" w:w="2556"/>
            <w:vAlign w:val="center"/>
            <w:shd w:fill="D9EAF7"/>
          </w:tcPr>
          <w:p>
            <w:pPr>
              <w:spacing w:after="0"/>
            </w:pPr>
            <w:r/>
            <w:r>
              <w:rPr>
                <w:rFonts w:ascii="Aptos" w:hAnsi="Aptos"/>
                <w:b/>
                <w:sz w:val="15"/>
              </w:rPr>
              <w:t>Schema</w:t>
            </w:r>
          </w:p>
        </w:tc>
      </w:tr>
      <w:tr>
        <w:tc>
          <w:tcPr>
            <w:tcW w:type="dxa" w:w="2556"/>
            <w:vAlign w:val="center"/>
          </w:tcPr>
          <w:p>
            <w:pPr>
              <w:spacing w:after="0"/>
            </w:pPr>
            <w:r/>
            <w:r>
              <w:rPr>
                <w:rFonts w:ascii="Aptos" w:hAnsi="Aptos"/>
                <w:b w:val="0"/>
                <w:sz w:val="15"/>
              </w:rPr>
              <w:t>Benign-Monday</w:t>
            </w:r>
          </w:p>
        </w:tc>
        <w:tc>
          <w:tcPr>
            <w:tcW w:type="dxa" w:w="2556"/>
            <w:vAlign w:val="center"/>
          </w:tcPr>
          <w:p>
            <w:pPr>
              <w:spacing w:after="0"/>
            </w:pPr>
            <w:r/>
            <w:r>
              <w:rPr>
                <w:rFonts w:ascii="Aptos" w:hAnsi="Aptos"/>
                <w:b w:val="0"/>
                <w:sz w:val="15"/>
              </w:rPr>
              <w:t>458,831</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Compatible</w:t>
            </w:r>
          </w:p>
        </w:tc>
      </w:tr>
      <w:tr>
        <w:tc>
          <w:tcPr>
            <w:tcW w:type="dxa" w:w="2556"/>
            <w:vAlign w:val="center"/>
          </w:tcPr>
          <w:p>
            <w:pPr>
              <w:spacing w:after="0"/>
            </w:pPr>
            <w:r/>
            <w:r>
              <w:rPr>
                <w:rFonts w:ascii="Aptos" w:hAnsi="Aptos"/>
                <w:b w:val="0"/>
                <w:sz w:val="15"/>
              </w:rPr>
              <w:t>Botnet-Friday</w:t>
            </w:r>
          </w:p>
        </w:tc>
        <w:tc>
          <w:tcPr>
            <w:tcW w:type="dxa" w:w="2556"/>
            <w:vAlign w:val="center"/>
          </w:tcPr>
          <w:p>
            <w:pPr>
              <w:spacing w:after="0"/>
            </w:pPr>
            <w:r/>
            <w:r>
              <w:rPr>
                <w:rFonts w:ascii="Aptos" w:hAnsi="Aptos"/>
                <w:b w:val="0"/>
                <w:sz w:val="15"/>
              </w:rPr>
              <w:t>176,038</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Compatible</w:t>
            </w:r>
          </w:p>
        </w:tc>
      </w:tr>
      <w:tr>
        <w:tc>
          <w:tcPr>
            <w:tcW w:type="dxa" w:w="2556"/>
            <w:vAlign w:val="center"/>
          </w:tcPr>
          <w:p>
            <w:pPr>
              <w:spacing w:after="0"/>
            </w:pPr>
            <w:r/>
            <w:r>
              <w:rPr>
                <w:rFonts w:ascii="Aptos" w:hAnsi="Aptos"/>
                <w:b w:val="0"/>
                <w:sz w:val="15"/>
              </w:rPr>
              <w:t>Bruteforce-Tuesday</w:t>
            </w:r>
          </w:p>
        </w:tc>
        <w:tc>
          <w:tcPr>
            <w:tcW w:type="dxa" w:w="2556"/>
            <w:vAlign w:val="center"/>
          </w:tcPr>
          <w:p>
            <w:pPr>
              <w:spacing w:after="0"/>
            </w:pPr>
            <w:r/>
            <w:r>
              <w:rPr>
                <w:rFonts w:ascii="Aptos" w:hAnsi="Aptos"/>
                <w:b w:val="0"/>
                <w:sz w:val="15"/>
              </w:rPr>
              <w:t>389,714</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Compatible</w:t>
            </w:r>
          </w:p>
        </w:tc>
      </w:tr>
      <w:tr>
        <w:tc>
          <w:tcPr>
            <w:tcW w:type="dxa" w:w="2556"/>
            <w:vAlign w:val="center"/>
          </w:tcPr>
          <w:p>
            <w:pPr>
              <w:spacing w:after="0"/>
            </w:pPr>
            <w:r/>
            <w:r>
              <w:rPr>
                <w:rFonts w:ascii="Aptos" w:hAnsi="Aptos"/>
                <w:b w:val="0"/>
                <w:sz w:val="15"/>
              </w:rPr>
              <w:t>DDoS-Friday</w:t>
            </w:r>
          </w:p>
        </w:tc>
        <w:tc>
          <w:tcPr>
            <w:tcW w:type="dxa" w:w="2556"/>
            <w:vAlign w:val="center"/>
          </w:tcPr>
          <w:p>
            <w:pPr>
              <w:spacing w:after="0"/>
            </w:pPr>
            <w:r/>
            <w:r>
              <w:rPr>
                <w:rFonts w:ascii="Aptos" w:hAnsi="Aptos"/>
                <w:b w:val="0"/>
                <w:sz w:val="15"/>
              </w:rPr>
              <w:t>221,264</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Compatible</w:t>
            </w:r>
          </w:p>
        </w:tc>
      </w:tr>
      <w:tr>
        <w:tc>
          <w:tcPr>
            <w:tcW w:type="dxa" w:w="2556"/>
            <w:vAlign w:val="center"/>
          </w:tcPr>
          <w:p>
            <w:pPr>
              <w:spacing w:after="0"/>
            </w:pPr>
            <w:r/>
            <w:r>
              <w:rPr>
                <w:rFonts w:ascii="Aptos" w:hAnsi="Aptos"/>
                <w:b w:val="0"/>
                <w:sz w:val="15"/>
              </w:rPr>
              <w:t>DoS-Wednesday</w:t>
            </w:r>
          </w:p>
        </w:tc>
        <w:tc>
          <w:tcPr>
            <w:tcW w:type="dxa" w:w="2556"/>
            <w:vAlign w:val="center"/>
          </w:tcPr>
          <w:p>
            <w:pPr>
              <w:spacing w:after="0"/>
            </w:pPr>
            <w:r/>
            <w:r>
              <w:rPr>
                <w:rFonts w:ascii="Aptos" w:hAnsi="Aptos"/>
                <w:b w:val="0"/>
                <w:sz w:val="15"/>
              </w:rPr>
              <w:t>584,991</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Compatible</w:t>
            </w:r>
          </w:p>
        </w:tc>
      </w:tr>
      <w:tr>
        <w:tc>
          <w:tcPr>
            <w:tcW w:type="dxa" w:w="2556"/>
            <w:vAlign w:val="center"/>
          </w:tcPr>
          <w:p>
            <w:pPr>
              <w:spacing w:after="0"/>
            </w:pPr>
            <w:r/>
            <w:r>
              <w:rPr>
                <w:rFonts w:ascii="Aptos" w:hAnsi="Aptos"/>
                <w:b w:val="0"/>
                <w:sz w:val="15"/>
              </w:rPr>
              <w:t>Infiltration-Thursday</w:t>
            </w:r>
          </w:p>
        </w:tc>
        <w:tc>
          <w:tcPr>
            <w:tcW w:type="dxa" w:w="2556"/>
            <w:vAlign w:val="center"/>
          </w:tcPr>
          <w:p>
            <w:pPr>
              <w:spacing w:after="0"/>
            </w:pPr>
            <w:r/>
            <w:r>
              <w:rPr>
                <w:rFonts w:ascii="Aptos" w:hAnsi="Aptos"/>
                <w:b w:val="0"/>
                <w:sz w:val="15"/>
              </w:rPr>
              <w:t>207,630</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Compatible</w:t>
            </w:r>
          </w:p>
        </w:tc>
      </w:tr>
      <w:tr>
        <w:tc>
          <w:tcPr>
            <w:tcW w:type="dxa" w:w="2556"/>
            <w:vAlign w:val="center"/>
          </w:tcPr>
          <w:p>
            <w:pPr>
              <w:spacing w:after="0"/>
            </w:pPr>
            <w:r/>
            <w:r>
              <w:rPr>
                <w:rFonts w:ascii="Aptos" w:hAnsi="Aptos"/>
                <w:b w:val="0"/>
                <w:sz w:val="15"/>
              </w:rPr>
              <w:t>Portscan-Friday</w:t>
            </w:r>
          </w:p>
        </w:tc>
        <w:tc>
          <w:tcPr>
            <w:tcW w:type="dxa" w:w="2556"/>
            <w:vAlign w:val="center"/>
          </w:tcPr>
          <w:p>
            <w:pPr>
              <w:spacing w:after="0"/>
            </w:pPr>
            <w:r/>
            <w:r>
              <w:rPr>
                <w:rFonts w:ascii="Aptos" w:hAnsi="Aptos"/>
                <w:b w:val="0"/>
                <w:sz w:val="15"/>
              </w:rPr>
              <w:t>119,522</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Compatible</w:t>
            </w:r>
          </w:p>
        </w:tc>
      </w:tr>
      <w:tr>
        <w:tc>
          <w:tcPr>
            <w:tcW w:type="dxa" w:w="2556"/>
            <w:vAlign w:val="center"/>
          </w:tcPr>
          <w:p>
            <w:pPr>
              <w:spacing w:after="0"/>
            </w:pPr>
            <w:r/>
            <w:r>
              <w:rPr>
                <w:rFonts w:ascii="Aptos" w:hAnsi="Aptos"/>
                <w:b w:val="0"/>
                <w:sz w:val="15"/>
              </w:rPr>
              <w:t>WebAttacks-Thursday</w:t>
            </w:r>
          </w:p>
        </w:tc>
        <w:tc>
          <w:tcPr>
            <w:tcW w:type="dxa" w:w="2556"/>
            <w:vAlign w:val="center"/>
          </w:tcPr>
          <w:p>
            <w:pPr>
              <w:spacing w:after="0"/>
            </w:pPr>
            <w:r/>
            <w:r>
              <w:rPr>
                <w:rFonts w:ascii="Aptos" w:hAnsi="Aptos"/>
                <w:b w:val="0"/>
                <w:sz w:val="15"/>
              </w:rPr>
              <w:t>155,820</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Compatible</w:t>
            </w:r>
          </w:p>
        </w:tc>
      </w:tr>
      <w:tr>
        <w:tc>
          <w:tcPr>
            <w:tcW w:type="dxa" w:w="2556"/>
            <w:vAlign w:val="center"/>
          </w:tcPr>
          <w:p>
            <w:pPr>
              <w:spacing w:after="0"/>
            </w:pPr>
            <w:r/>
            <w:r>
              <w:rPr>
                <w:rFonts w:ascii="Aptos" w:hAnsi="Aptos"/>
                <w:b w:val="0"/>
                <w:sz w:val="15"/>
              </w:rPr>
              <w:t>Combined</w:t>
            </w:r>
          </w:p>
        </w:tc>
        <w:tc>
          <w:tcPr>
            <w:tcW w:type="dxa" w:w="2556"/>
            <w:vAlign w:val="center"/>
          </w:tcPr>
          <w:p>
            <w:pPr>
              <w:spacing w:after="0"/>
            </w:pPr>
            <w:r/>
            <w:r>
              <w:rPr>
                <w:rFonts w:ascii="Aptos" w:hAnsi="Aptos"/>
                <w:b w:val="0"/>
                <w:sz w:val="15"/>
              </w:rPr>
              <w:t>2,313,810</w:t>
            </w:r>
          </w:p>
        </w:tc>
        <w:tc>
          <w:tcPr>
            <w:tcW w:type="dxa" w:w="2556"/>
            <w:vAlign w:val="center"/>
          </w:tcPr>
          <w:p>
            <w:pPr>
              <w:spacing w:after="0"/>
            </w:pPr>
            <w:r/>
            <w:r>
              <w:rPr>
                <w:rFonts w:ascii="Aptos" w:hAnsi="Aptos"/>
                <w:b w:val="0"/>
                <w:sz w:val="15"/>
              </w:rPr>
              <w:t>78</w:t>
            </w:r>
          </w:p>
        </w:tc>
        <w:tc>
          <w:tcPr>
            <w:tcW w:type="dxa" w:w="2556"/>
            <w:vAlign w:val="center"/>
          </w:tcPr>
          <w:p>
            <w:pPr>
              <w:spacing w:after="0"/>
            </w:pPr>
            <w:r/>
            <w:r>
              <w:rPr>
                <w:rFonts w:ascii="Aptos" w:hAnsi="Aptos"/>
                <w:b w:val="0"/>
                <w:sz w:val="15"/>
              </w:rPr>
              <w:t>All compatible</w:t>
            </w:r>
          </w:p>
        </w:tc>
      </w:tr>
    </w:tbl>
    <w:p>
      <w:pPr>
        <w:spacing w:after="20"/>
      </w:pPr>
    </w:p>
    <w:p>
      <w:pPr>
        <w:pStyle w:val="Heading2"/>
      </w:pPr>
      <w:r>
        <w:t>2.2 Dataset Characteristics</w:t>
      </w:r>
    </w:p>
    <w:p>
      <w:r>
        <w:t>After consolidation, the dataset contained 77 feature columns and one target column, Label. Label contained 15 traffic/attack classes and was highly imbalanced, with Benign traffic forming the majority class. Protocol was stored as an integer but represented nominal protocol categories and was therefore treated as categorical during preprocessing.</w:t>
      </w:r>
    </w:p>
    <w:p>
      <w:pPr>
        <w:pStyle w:val="Heading1"/>
      </w:pPr>
      <w:r>
        <w:t>3. Data Preprocessing</w:t>
      </w:r>
    </w:p>
    <w:p>
      <w:r>
        <w:t>Preprocessing was performed after an 80:20 stratified train-test split. Learned preprocessing operations such as median imputation, scaling and categorical encoding were fitted on the training data and then applied to the test data. This prevents information from the test set from influencing the learned preprocessing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1512"/>
            <w:vAlign w:val="center"/>
            <w:shd w:fill="D9EAF7"/>
          </w:tcPr>
          <w:p>
            <w:pPr>
              <w:spacing w:after="0"/>
            </w:pPr>
            <w:r/>
            <w:r>
              <w:rPr>
                <w:rFonts w:ascii="Aptos" w:hAnsi="Aptos"/>
                <w:b/>
                <w:sz w:val="14"/>
              </w:rPr>
              <w:t>Step</w:t>
            </w:r>
          </w:p>
        </w:tc>
        <w:tc>
          <w:tcPr>
            <w:tcW w:type="dxa" w:w="2952"/>
            <w:vAlign w:val="center"/>
            <w:shd w:fill="D9EAF7"/>
          </w:tcPr>
          <w:p>
            <w:pPr>
              <w:spacing w:after="0"/>
            </w:pPr>
            <w:r/>
            <w:r>
              <w:rPr>
                <w:rFonts w:ascii="Aptos" w:hAnsi="Aptos"/>
                <w:b/>
                <w:sz w:val="14"/>
              </w:rPr>
              <w:t>Technique / Decision</w:t>
            </w:r>
          </w:p>
        </w:tc>
        <w:tc>
          <w:tcPr>
            <w:tcW w:type="dxa" w:w="5112"/>
            <w:vAlign w:val="center"/>
            <w:shd w:fill="D9EAF7"/>
          </w:tcPr>
          <w:p>
            <w:pPr>
              <w:spacing w:after="0"/>
            </w:pPr>
            <w:r/>
            <w:r>
              <w:rPr>
                <w:rFonts w:ascii="Aptos" w:hAnsi="Aptos"/>
                <w:b/>
                <w:sz w:val="14"/>
              </w:rPr>
              <w:t>Reason / Justification</w:t>
            </w:r>
          </w:p>
        </w:tc>
      </w:tr>
      <w:tr>
        <w:tc>
          <w:tcPr>
            <w:tcW w:type="dxa" w:w="1512"/>
            <w:vAlign w:val="center"/>
          </w:tcPr>
          <w:p>
            <w:pPr>
              <w:spacing w:after="0"/>
            </w:pPr>
            <w:r/>
            <w:r>
              <w:rPr>
                <w:rFonts w:ascii="Aptos" w:hAnsi="Aptos"/>
                <w:b w:val="0"/>
                <w:sz w:val="14"/>
              </w:rPr>
              <w:t>Duplicate removal</w:t>
            </w:r>
          </w:p>
        </w:tc>
        <w:tc>
          <w:tcPr>
            <w:tcW w:type="dxa" w:w="2952"/>
            <w:vAlign w:val="center"/>
          </w:tcPr>
          <w:p>
            <w:pPr>
              <w:spacing w:after="0"/>
            </w:pPr>
            <w:r/>
            <w:r>
              <w:rPr>
                <w:rFonts w:ascii="Aptos" w:hAnsi="Aptos"/>
                <w:b w:val="0"/>
                <w:sz w:val="14"/>
              </w:rPr>
              <w:t>Removed 82,004 exact duplicates</w:t>
            </w:r>
          </w:p>
        </w:tc>
        <w:tc>
          <w:tcPr>
            <w:tcW w:type="dxa" w:w="5112"/>
            <w:vAlign w:val="center"/>
          </w:tcPr>
          <w:p>
            <w:pPr>
              <w:spacing w:after="0"/>
            </w:pPr>
            <w:r/>
            <w:r>
              <w:rPr>
                <w:rFonts w:ascii="Aptos" w:hAnsi="Aptos"/>
                <w:b w:val="0"/>
                <w:sz w:val="14"/>
              </w:rPr>
              <w:t>Duplicate records can bias the model by repeatedly representing the same observation.</w:t>
            </w:r>
          </w:p>
        </w:tc>
      </w:tr>
      <w:tr>
        <w:tc>
          <w:tcPr>
            <w:tcW w:type="dxa" w:w="1512"/>
            <w:vAlign w:val="center"/>
          </w:tcPr>
          <w:p>
            <w:pPr>
              <w:spacing w:after="0"/>
            </w:pPr>
            <w:r/>
            <w:r>
              <w:rPr>
                <w:rFonts w:ascii="Aptos" w:hAnsi="Aptos"/>
                <w:b w:val="0"/>
                <w:sz w:val="14"/>
              </w:rPr>
              <w:t>Constant features</w:t>
            </w:r>
          </w:p>
        </w:tc>
        <w:tc>
          <w:tcPr>
            <w:tcW w:type="dxa" w:w="2952"/>
            <w:vAlign w:val="center"/>
          </w:tcPr>
          <w:p>
            <w:pPr>
              <w:spacing w:after="0"/>
            </w:pPr>
            <w:r/>
            <w:r>
              <w:rPr>
                <w:rFonts w:ascii="Aptos" w:hAnsi="Aptos"/>
                <w:b w:val="0"/>
                <w:sz w:val="14"/>
              </w:rPr>
              <w:t>Removed 8 zero-variance features</w:t>
            </w:r>
          </w:p>
        </w:tc>
        <w:tc>
          <w:tcPr>
            <w:tcW w:type="dxa" w:w="5112"/>
            <w:vAlign w:val="center"/>
          </w:tcPr>
          <w:p>
            <w:pPr>
              <w:spacing w:after="0"/>
            </w:pPr>
            <w:r/>
            <w:r>
              <w:rPr>
                <w:rFonts w:ascii="Aptos" w:hAnsi="Aptos"/>
                <w:b w:val="0"/>
                <w:sz w:val="14"/>
              </w:rPr>
              <w:t>Constant columns contain no discriminative information.</w:t>
            </w:r>
          </w:p>
        </w:tc>
      </w:tr>
      <w:tr>
        <w:tc>
          <w:tcPr>
            <w:tcW w:type="dxa" w:w="1512"/>
            <w:vAlign w:val="center"/>
          </w:tcPr>
          <w:p>
            <w:pPr>
              <w:spacing w:after="0"/>
            </w:pPr>
            <w:r/>
            <w:r>
              <w:rPr>
                <w:rFonts w:ascii="Aptos" w:hAnsi="Aptos"/>
                <w:b w:val="0"/>
                <w:sz w:val="14"/>
              </w:rPr>
              <w:t>Missing values</w:t>
            </w:r>
          </w:p>
        </w:tc>
        <w:tc>
          <w:tcPr>
            <w:tcW w:type="dxa" w:w="2952"/>
            <w:vAlign w:val="center"/>
          </w:tcPr>
          <w:p>
            <w:pPr>
              <w:spacing w:after="0"/>
            </w:pPr>
            <w:r/>
            <w:r>
              <w:rPr>
                <w:rFonts w:ascii="Aptos" w:hAnsi="Aptos"/>
                <w:b w:val="0"/>
                <w:sz w:val="14"/>
              </w:rPr>
              <w:t>Invalid negative sentinel values → NaN → median imputation</w:t>
            </w:r>
          </w:p>
        </w:tc>
        <w:tc>
          <w:tcPr>
            <w:tcW w:type="dxa" w:w="5112"/>
            <w:vAlign w:val="center"/>
          </w:tcPr>
          <w:p>
            <w:pPr>
              <w:spacing w:after="0"/>
            </w:pPr>
            <w:r/>
            <w:r>
              <w:rPr>
                <w:rFonts w:ascii="Aptos" w:hAnsi="Aptos"/>
                <w:b w:val="0"/>
                <w:sz w:val="14"/>
              </w:rPr>
              <w:t>The dataset had no conventional NaNs, but 12 non-negative features contained negative values that were treated as invalid/sentinel values.</w:t>
            </w:r>
          </w:p>
        </w:tc>
      </w:tr>
      <w:tr>
        <w:tc>
          <w:tcPr>
            <w:tcW w:type="dxa" w:w="1512"/>
            <w:vAlign w:val="center"/>
          </w:tcPr>
          <w:p>
            <w:pPr>
              <w:spacing w:after="0"/>
            </w:pPr>
            <w:r/>
            <w:r>
              <w:rPr>
                <w:rFonts w:ascii="Aptos" w:hAnsi="Aptos"/>
                <w:b w:val="0"/>
                <w:sz w:val="14"/>
              </w:rPr>
              <w:t>Categorical encoding</w:t>
            </w:r>
          </w:p>
        </w:tc>
        <w:tc>
          <w:tcPr>
            <w:tcW w:type="dxa" w:w="2952"/>
            <w:vAlign w:val="center"/>
          </w:tcPr>
          <w:p>
            <w:pPr>
              <w:spacing w:after="0"/>
            </w:pPr>
            <w:r/>
            <w:r>
              <w:rPr>
                <w:rFonts w:ascii="Aptos" w:hAnsi="Aptos"/>
                <w:b w:val="0"/>
                <w:sz w:val="14"/>
              </w:rPr>
              <w:t>Protocol: one-hot encoding</w:t>
            </w:r>
          </w:p>
        </w:tc>
        <w:tc>
          <w:tcPr>
            <w:tcW w:type="dxa" w:w="5112"/>
            <w:vAlign w:val="center"/>
          </w:tcPr>
          <w:p>
            <w:pPr>
              <w:spacing w:after="0"/>
            </w:pPr>
            <w:r/>
            <w:r>
              <w:rPr>
                <w:rFonts w:ascii="Aptos" w:hAnsi="Aptos"/>
                <w:b w:val="0"/>
                <w:sz w:val="14"/>
              </w:rPr>
              <w:t>Protocol is nominal, so one-hot encoding avoids imposing an artificial numeric order.</w:t>
            </w:r>
          </w:p>
        </w:tc>
      </w:tr>
      <w:tr>
        <w:tc>
          <w:tcPr>
            <w:tcW w:type="dxa" w:w="1512"/>
            <w:vAlign w:val="center"/>
          </w:tcPr>
          <w:p>
            <w:pPr>
              <w:spacing w:after="0"/>
            </w:pPr>
            <w:r/>
            <w:r>
              <w:rPr>
                <w:rFonts w:ascii="Aptos" w:hAnsi="Aptos"/>
                <w:b w:val="0"/>
                <w:sz w:val="14"/>
              </w:rPr>
              <w:t>Target encoding</w:t>
            </w:r>
          </w:p>
        </w:tc>
        <w:tc>
          <w:tcPr>
            <w:tcW w:type="dxa" w:w="2952"/>
            <w:vAlign w:val="center"/>
          </w:tcPr>
          <w:p>
            <w:pPr>
              <w:spacing w:after="0"/>
            </w:pPr>
            <w:r/>
            <w:r>
              <w:rPr>
                <w:rFonts w:ascii="Aptos" w:hAnsi="Aptos"/>
                <w:b w:val="0"/>
                <w:sz w:val="14"/>
              </w:rPr>
              <w:t>Label: LabelEncoder</w:t>
            </w:r>
          </w:p>
        </w:tc>
        <w:tc>
          <w:tcPr>
            <w:tcW w:type="dxa" w:w="5112"/>
            <w:vAlign w:val="center"/>
          </w:tcPr>
          <w:p>
            <w:pPr>
              <w:spacing w:after="0"/>
            </w:pPr>
            <w:r/>
            <w:r>
              <w:rPr>
                <w:rFonts w:ascii="Aptos" w:hAnsi="Aptos"/>
                <w:b w:val="0"/>
                <w:sz w:val="14"/>
              </w:rPr>
              <w:t>The 15 target classes were converted to integer class IDs for classification.</w:t>
            </w:r>
          </w:p>
        </w:tc>
      </w:tr>
      <w:tr>
        <w:tc>
          <w:tcPr>
            <w:tcW w:type="dxa" w:w="1512"/>
            <w:vAlign w:val="center"/>
          </w:tcPr>
          <w:p>
            <w:pPr>
              <w:spacing w:after="0"/>
            </w:pPr>
            <w:r/>
            <w:r>
              <w:rPr>
                <w:rFonts w:ascii="Aptos" w:hAnsi="Aptos"/>
                <w:b w:val="0"/>
                <w:sz w:val="14"/>
              </w:rPr>
              <w:t>Binning</w:t>
            </w:r>
          </w:p>
        </w:tc>
        <w:tc>
          <w:tcPr>
            <w:tcW w:type="dxa" w:w="2952"/>
            <w:vAlign w:val="center"/>
          </w:tcPr>
          <w:p>
            <w:pPr>
              <w:spacing w:after="0"/>
            </w:pPr>
            <w:r/>
            <w:r>
              <w:rPr>
                <w:rFonts w:ascii="Aptos" w:hAnsi="Aptos"/>
                <w:b w:val="0"/>
                <w:sz w:val="14"/>
              </w:rPr>
              <w:t>Not applied</w:t>
            </w:r>
          </w:p>
        </w:tc>
        <w:tc>
          <w:tcPr>
            <w:tcW w:type="dxa" w:w="5112"/>
            <w:vAlign w:val="center"/>
          </w:tcPr>
          <w:p>
            <w:pPr>
              <w:spacing w:after="0"/>
            </w:pPr>
            <w:r/>
            <w:r>
              <w:rPr>
                <w:rFonts w:ascii="Aptos" w:hAnsi="Aptos"/>
                <w:b w:val="0"/>
                <w:sz w:val="14"/>
              </w:rPr>
              <w:t>Continuous network-flow measurements retain useful quantitative information; arbitrary bins could discard detail.</w:t>
            </w:r>
          </w:p>
        </w:tc>
      </w:tr>
      <w:tr>
        <w:tc>
          <w:tcPr>
            <w:tcW w:type="dxa" w:w="1512"/>
            <w:vAlign w:val="center"/>
          </w:tcPr>
          <w:p>
            <w:pPr>
              <w:spacing w:after="0"/>
            </w:pPr>
            <w:r/>
            <w:r>
              <w:rPr>
                <w:rFonts w:ascii="Aptos" w:hAnsi="Aptos"/>
                <w:b w:val="0"/>
                <w:sz w:val="14"/>
              </w:rPr>
              <w:t>Transformation</w:t>
            </w:r>
          </w:p>
        </w:tc>
        <w:tc>
          <w:tcPr>
            <w:tcW w:type="dxa" w:w="2952"/>
            <w:vAlign w:val="center"/>
          </w:tcPr>
          <w:p>
            <w:pPr>
              <w:spacing w:after="0"/>
            </w:pPr>
            <w:r/>
            <w:r>
              <w:rPr>
                <w:rFonts w:ascii="Aptos" w:hAnsi="Aptos"/>
                <w:b w:val="0"/>
                <w:sz w:val="14"/>
              </w:rPr>
              <w:t>log1p on 10 highly skewed features</w:t>
            </w:r>
          </w:p>
        </w:tc>
        <w:tc>
          <w:tcPr>
            <w:tcW w:type="dxa" w:w="5112"/>
            <w:vAlign w:val="center"/>
          </w:tcPr>
          <w:p>
            <w:pPr>
              <w:spacing w:after="0"/>
            </w:pPr>
            <w:r/>
            <w:r>
              <w:rPr>
                <w:rFonts w:ascii="Aptos" w:hAnsi="Aptos"/>
                <w:b w:val="0"/>
                <w:sz w:val="14"/>
              </w:rPr>
              <w:t>Reduced extreme right-skew in magnitude/count/rate variables while retaining their information.</w:t>
            </w:r>
          </w:p>
        </w:tc>
      </w:tr>
      <w:tr>
        <w:tc>
          <w:tcPr>
            <w:tcW w:type="dxa" w:w="1512"/>
            <w:vAlign w:val="center"/>
          </w:tcPr>
          <w:p>
            <w:pPr>
              <w:spacing w:after="0"/>
            </w:pPr>
            <w:r/>
            <w:r>
              <w:rPr>
                <w:rFonts w:ascii="Aptos" w:hAnsi="Aptos"/>
                <w:b w:val="0"/>
                <w:sz w:val="14"/>
              </w:rPr>
              <w:t>Outlier analysis</w:t>
            </w:r>
          </w:p>
        </w:tc>
        <w:tc>
          <w:tcPr>
            <w:tcW w:type="dxa" w:w="2952"/>
            <w:vAlign w:val="center"/>
          </w:tcPr>
          <w:p>
            <w:pPr>
              <w:spacing w:after="0"/>
            </w:pPr>
            <w:r/>
            <w:r>
              <w:rPr>
                <w:rFonts w:ascii="Aptos" w:hAnsi="Aptos"/>
                <w:b w:val="0"/>
                <w:sz w:val="14"/>
              </w:rPr>
              <w:t>IQR investigation; extreme values retained</w:t>
            </w:r>
          </w:p>
        </w:tc>
        <w:tc>
          <w:tcPr>
            <w:tcW w:type="dxa" w:w="5112"/>
            <w:vAlign w:val="center"/>
          </w:tcPr>
          <w:p>
            <w:pPr>
              <w:spacing w:after="0"/>
            </w:pPr>
            <w:r/>
            <w:r>
              <w:rPr>
                <w:rFonts w:ascii="Aptos" w:hAnsi="Aptos"/>
                <w:b w:val="0"/>
                <w:sz w:val="14"/>
              </w:rPr>
              <w:t>Large values can represent genuine traffic or attack behavior, so they were not removed automatically.</w:t>
            </w:r>
          </w:p>
        </w:tc>
      </w:tr>
      <w:tr>
        <w:tc>
          <w:tcPr>
            <w:tcW w:type="dxa" w:w="1512"/>
            <w:vAlign w:val="center"/>
          </w:tcPr>
          <w:p>
            <w:pPr>
              <w:spacing w:after="0"/>
            </w:pPr>
            <w:r/>
            <w:r>
              <w:rPr>
                <w:rFonts w:ascii="Aptos" w:hAnsi="Aptos"/>
                <w:b w:val="0"/>
                <w:sz w:val="14"/>
              </w:rPr>
              <w:t>Feature selection</w:t>
            </w:r>
          </w:p>
        </w:tc>
        <w:tc>
          <w:tcPr>
            <w:tcW w:type="dxa" w:w="2952"/>
            <w:vAlign w:val="center"/>
          </w:tcPr>
          <w:p>
            <w:pPr>
              <w:spacing w:after="0"/>
            </w:pPr>
            <w:r/>
            <w:r>
              <w:rPr>
                <w:rFonts w:ascii="Aptos" w:hAnsi="Aptos"/>
                <w:b w:val="0"/>
                <w:sz w:val="14"/>
              </w:rPr>
              <w:t>Correlation filter; 16 redundant features removed</w:t>
            </w:r>
          </w:p>
        </w:tc>
        <w:tc>
          <w:tcPr>
            <w:tcW w:type="dxa" w:w="5112"/>
            <w:vAlign w:val="center"/>
          </w:tcPr>
          <w:p>
            <w:pPr>
              <w:spacing w:after="0"/>
            </w:pPr>
            <w:r/>
            <w:r>
              <w:rPr>
                <w:rFonts w:ascii="Aptos" w:hAnsi="Aptos"/>
                <w:b w:val="0"/>
                <w:sz w:val="14"/>
              </w:rPr>
              <w:t>Highly correlated/redundant variables were reduced while preserving interpretable features.</w:t>
            </w:r>
          </w:p>
        </w:tc>
      </w:tr>
      <w:tr>
        <w:tc>
          <w:tcPr>
            <w:tcW w:type="dxa" w:w="1512"/>
            <w:vAlign w:val="center"/>
          </w:tcPr>
          <w:p>
            <w:pPr>
              <w:spacing w:after="0"/>
            </w:pPr>
            <w:r/>
            <w:r>
              <w:rPr>
                <w:rFonts w:ascii="Aptos" w:hAnsi="Aptos"/>
                <w:b w:val="0"/>
                <w:sz w:val="14"/>
              </w:rPr>
              <w:t>Scaling</w:t>
            </w:r>
          </w:p>
        </w:tc>
        <w:tc>
          <w:tcPr>
            <w:tcW w:type="dxa" w:w="2952"/>
            <w:vAlign w:val="center"/>
          </w:tcPr>
          <w:p>
            <w:pPr>
              <w:spacing w:after="0"/>
            </w:pPr>
            <w:r/>
            <w:r>
              <w:rPr>
                <w:rFonts w:ascii="Aptos" w:hAnsi="Aptos"/>
                <w:b w:val="0"/>
                <w:sz w:val="14"/>
              </w:rPr>
              <w:t>StandardScaler on numerical features</w:t>
            </w:r>
          </w:p>
        </w:tc>
        <w:tc>
          <w:tcPr>
            <w:tcW w:type="dxa" w:w="5112"/>
            <w:vAlign w:val="center"/>
          </w:tcPr>
          <w:p>
            <w:pPr>
              <w:spacing w:after="0"/>
            </w:pPr>
            <w:r/>
            <w:r>
              <w:rPr>
                <w:rFonts w:ascii="Aptos" w:hAnsi="Aptos"/>
                <w:b w:val="0"/>
                <w:sz w:val="14"/>
              </w:rPr>
              <w:t>Places numerical variables on comparable scales for models such as Logistic Regression.</w:t>
            </w:r>
          </w:p>
        </w:tc>
      </w:tr>
      <w:tr>
        <w:tc>
          <w:tcPr>
            <w:tcW w:type="dxa" w:w="1512"/>
            <w:vAlign w:val="center"/>
          </w:tcPr>
          <w:p>
            <w:pPr>
              <w:spacing w:after="0"/>
            </w:pPr>
            <w:r/>
            <w:r>
              <w:rPr>
                <w:rFonts w:ascii="Aptos" w:hAnsi="Aptos"/>
                <w:b w:val="0"/>
                <w:sz w:val="14"/>
              </w:rPr>
              <w:t>PCA</w:t>
            </w:r>
          </w:p>
        </w:tc>
        <w:tc>
          <w:tcPr>
            <w:tcW w:type="dxa" w:w="2952"/>
            <w:vAlign w:val="center"/>
          </w:tcPr>
          <w:p>
            <w:pPr>
              <w:spacing w:after="0"/>
            </w:pPr>
            <w:r/>
            <w:r>
              <w:rPr>
                <w:rFonts w:ascii="Aptos" w:hAnsi="Aptos"/>
                <w:b w:val="0"/>
                <w:sz w:val="14"/>
              </w:rPr>
              <w:t>Not applied</w:t>
            </w:r>
          </w:p>
        </w:tc>
        <w:tc>
          <w:tcPr>
            <w:tcW w:type="dxa" w:w="5112"/>
            <w:vAlign w:val="center"/>
          </w:tcPr>
          <w:p>
            <w:pPr>
              <w:spacing w:after="0"/>
            </w:pPr>
            <w:r/>
            <w:r>
              <w:rPr>
                <w:rFonts w:ascii="Aptos" w:hAnsi="Aptos"/>
                <w:b w:val="0"/>
                <w:sz w:val="14"/>
              </w:rPr>
              <w:t>Correlation-based selection reduced redundancy while preserving the interpretability of original network features.</w:t>
            </w:r>
          </w:p>
        </w:tc>
      </w:tr>
    </w:tbl>
    <w:p>
      <w:pPr>
        <w:spacing w:after="20"/>
      </w:pPr>
    </w:p>
    <w:p>
      <w:pPr>
        <w:pStyle w:val="Heading2"/>
      </w:pPr>
      <w:r>
        <w:t>3.1 Duplicate and Constant-Feature Removal</w:t>
      </w:r>
    </w:p>
    <w:p>
      <w:r>
        <w:t>The consolidated dataset contained 82,004 exact duplicate rows. These were removed before model training. Eight constant/zero-variance features were also removed because they did not provide variation that could help distinguish traffic classes. After these steps, the working feature matrix contained 69 features.</w:t>
      </w:r>
    </w:p>
    <w:p>
      <w:pPr>
        <w:pStyle w:val="Heading2"/>
      </w:pPr>
      <w:r>
        <w:t>3.2 Invalid Values and Imputation</w:t>
      </w:r>
    </w:p>
    <w:p>
      <w:r>
        <w:t>Although the initial dataset reported no standard missing values, several network-flow fields that should be non-negative contained negative values. Examples included Init Bwd Win Bytes, Init Fwd Win Bytes, Flow IAT Min, Flow Duration, Flow Packets/s and Flow Bytes/s. These values were treated as invalid/sentinel observations rather than valid negative measurements. They were converted to missing values and imputed using the median calculated from the training data. Median imputation was selected because these network features are often skewed and the median is less sensitive to extreme values.</w:t>
      </w:r>
    </w:p>
    <w:p>
      <w:pPr>
        <w:pStyle w:val="Heading2"/>
      </w:pPr>
      <w:r>
        <w:t>3.3 Encoding, Transformation and Scaling</w:t>
      </w:r>
    </w:p>
    <w:p>
      <w:r>
        <w:t>Protocol had three observed categories (0, 6 and 17) and was treated as a nominal categorical feature. One-hot encoding produced three binary protocol indicators. The target Label contained 15 classes and was label-encoded. Ten heavily skewed non-negative numerical features were transformed using log1p. Numerical features were then standardized using StandardScaler. The final input matrix contained 55 features: 52 scaled numerical features plus three one-hot protocol features.</w:t>
      </w:r>
    </w:p>
    <w:p>
      <w:pPr>
        <w:pStyle w:val="Heading2"/>
      </w:pPr>
      <w:r>
        <w:t>3.4 Binning and Outlier Analysis</w:t>
      </w:r>
    </w:p>
    <w:p>
      <w:r>
        <w:t>Binning was not applied because the network-flow measurements are meaningful as continuous numerical values and there were no domain-defined boundaries available that would justify arbitrary ranges. Converting such measurements into bins could reduce useful information. Outliers were investigated using the IQR rule. Several variables had substantial proportions of IQR-defined observations, but these were not automatically removed because unusually large packet counts, rates or activity values can correspond to legitimate traffic or attack behavior. The project therefore distinguishes statistical outliers from confirmed erroneous records.</w:t>
      </w:r>
    </w:p>
    <w:p>
      <w:pPr>
        <w:pStyle w:val="Heading1"/>
      </w:pPr>
      <w:r>
        <w:t>4. Feature Selection / Dimensionality Reduction</w:t>
      </w:r>
    </w:p>
    <w:p>
      <w:r>
        <w:t>Correlation analysis identified 38 numerical feature pairs with absolute correlation of at least 0.95. An upper-triangle correlation filter was used to identify redundant candidates. Sixteen features were removed, including redundant Subflow features, highly correlated packet-length statistics, duplicate flag indicators and redundant inter-arrival-time features.</w:t>
      </w:r>
    </w:p>
    <w:tbl>
      <w:tblPr>
        <w:tblStyle w:val="TableGrid"/>
        <w:tblW w:type="auto" w:w="0"/>
        <w:jc w:val="center"/>
        <w:tblLook w:firstColumn="1" w:firstRow="1" w:lastColumn="0" w:lastRow="0" w:noHBand="0" w:noVBand="1" w:val="04A0"/>
      </w:tblPr>
      <w:tblGrid>
        <w:gridCol w:w="5112"/>
        <w:gridCol w:w="5112"/>
      </w:tblGrid>
      <w:tr>
        <w:tc>
          <w:tcPr>
            <w:tcW w:type="dxa" w:w="5760"/>
            <w:vAlign w:val="center"/>
            <w:shd w:fill="D9EAF7"/>
          </w:tcPr>
          <w:p>
            <w:pPr>
              <w:spacing w:after="0"/>
            </w:pPr>
            <w:r/>
            <w:r>
              <w:rPr>
                <w:rFonts w:ascii="Aptos" w:hAnsi="Aptos"/>
                <w:b/>
                <w:sz w:val="16"/>
              </w:rPr>
              <w:t>Stage</w:t>
            </w:r>
          </w:p>
        </w:tc>
        <w:tc>
          <w:tcPr>
            <w:tcW w:type="dxa" w:w="2880"/>
            <w:vAlign w:val="center"/>
            <w:shd w:fill="D9EAF7"/>
          </w:tcPr>
          <w:p>
            <w:pPr>
              <w:spacing w:after="0"/>
            </w:pPr>
            <w:r/>
            <w:r>
              <w:rPr>
                <w:rFonts w:ascii="Aptos" w:hAnsi="Aptos"/>
                <w:b/>
                <w:sz w:val="16"/>
              </w:rPr>
              <w:t>Feature count</w:t>
            </w:r>
          </w:p>
        </w:tc>
      </w:tr>
      <w:tr>
        <w:tc>
          <w:tcPr>
            <w:tcW w:type="dxa" w:w="5760"/>
            <w:vAlign w:val="center"/>
          </w:tcPr>
          <w:p>
            <w:pPr>
              <w:spacing w:after="0"/>
            </w:pPr>
            <w:r/>
            <w:r>
              <w:rPr>
                <w:rFonts w:ascii="Aptos" w:hAnsi="Aptos"/>
                <w:b w:val="0"/>
                <w:sz w:val="16"/>
              </w:rPr>
              <w:t>Initial dataset</w:t>
            </w:r>
          </w:p>
        </w:tc>
        <w:tc>
          <w:tcPr>
            <w:tcW w:type="dxa" w:w="2880"/>
            <w:vAlign w:val="center"/>
          </w:tcPr>
          <w:p>
            <w:pPr>
              <w:spacing w:after="0"/>
            </w:pPr>
            <w:r/>
            <w:r>
              <w:rPr>
                <w:rFonts w:ascii="Aptos" w:hAnsi="Aptos"/>
                <w:b w:val="0"/>
                <w:sz w:val="16"/>
              </w:rPr>
              <w:t>77 features + Label</w:t>
            </w:r>
          </w:p>
        </w:tc>
      </w:tr>
      <w:tr>
        <w:tc>
          <w:tcPr>
            <w:tcW w:type="dxa" w:w="5760"/>
            <w:vAlign w:val="center"/>
          </w:tcPr>
          <w:p>
            <w:pPr>
              <w:spacing w:after="0"/>
            </w:pPr>
            <w:r/>
            <w:r>
              <w:rPr>
                <w:rFonts w:ascii="Aptos" w:hAnsi="Aptos"/>
                <w:b w:val="0"/>
                <w:sz w:val="16"/>
              </w:rPr>
              <w:t>After 8 constant features removed</w:t>
            </w:r>
          </w:p>
        </w:tc>
        <w:tc>
          <w:tcPr>
            <w:tcW w:type="dxa" w:w="2880"/>
            <w:vAlign w:val="center"/>
          </w:tcPr>
          <w:p>
            <w:pPr>
              <w:spacing w:after="0"/>
            </w:pPr>
            <w:r/>
            <w:r>
              <w:rPr>
                <w:rFonts w:ascii="Aptos" w:hAnsi="Aptos"/>
                <w:b w:val="0"/>
                <w:sz w:val="16"/>
              </w:rPr>
              <w:t>69 features + Label</w:t>
            </w:r>
          </w:p>
        </w:tc>
      </w:tr>
      <w:tr>
        <w:tc>
          <w:tcPr>
            <w:tcW w:type="dxa" w:w="5760"/>
            <w:vAlign w:val="center"/>
          </w:tcPr>
          <w:p>
            <w:pPr>
              <w:spacing w:after="0"/>
            </w:pPr>
            <w:r/>
            <w:r>
              <w:rPr>
                <w:rFonts w:ascii="Aptos" w:hAnsi="Aptos"/>
                <w:b w:val="0"/>
                <w:sz w:val="16"/>
              </w:rPr>
              <w:t>After correlation-based selection</w:t>
            </w:r>
          </w:p>
        </w:tc>
        <w:tc>
          <w:tcPr>
            <w:tcW w:type="dxa" w:w="2880"/>
            <w:vAlign w:val="center"/>
          </w:tcPr>
          <w:p>
            <w:pPr>
              <w:spacing w:after="0"/>
            </w:pPr>
            <w:r/>
            <w:r>
              <w:rPr>
                <w:rFonts w:ascii="Aptos" w:hAnsi="Aptos"/>
                <w:b w:val="0"/>
                <w:sz w:val="16"/>
              </w:rPr>
              <w:t>53 features + Label</w:t>
            </w:r>
          </w:p>
        </w:tc>
      </w:tr>
      <w:tr>
        <w:tc>
          <w:tcPr>
            <w:tcW w:type="dxa" w:w="5760"/>
            <w:vAlign w:val="center"/>
          </w:tcPr>
          <w:p>
            <w:pPr>
              <w:spacing w:after="0"/>
            </w:pPr>
            <w:r/>
            <w:r>
              <w:rPr>
                <w:rFonts w:ascii="Aptos" w:hAnsi="Aptos"/>
                <w:b w:val="0"/>
                <w:sz w:val="16"/>
              </w:rPr>
              <w:t>After Protocol one-hot encoding</w:t>
            </w:r>
          </w:p>
        </w:tc>
        <w:tc>
          <w:tcPr>
            <w:tcW w:type="dxa" w:w="2880"/>
            <w:vAlign w:val="center"/>
          </w:tcPr>
          <w:p>
            <w:pPr>
              <w:spacing w:after="0"/>
            </w:pPr>
            <w:r/>
            <w:r>
              <w:rPr>
                <w:rFonts w:ascii="Aptos" w:hAnsi="Aptos"/>
                <w:b w:val="0"/>
                <w:sz w:val="16"/>
              </w:rPr>
              <w:t>55 final model inputs</w:t>
            </w:r>
          </w:p>
        </w:tc>
      </w:tr>
    </w:tbl>
    <w:p>
      <w:pPr>
        <w:spacing w:after="20"/>
      </w:pPr>
    </w:p>
    <w:p>
      <w:r>
        <w:t>Mutual-information analysis was considered but was computationally expensive on the approximately 1.8 million training rows and was stopped. PCA was not used because the correlation filter was sufficient for the intended reduction and retaining original feature names makes the NIDS pipeline easier to interpret.</w:t>
      </w:r>
    </w:p>
    <w:p>
      <w:pPr>
        <w:pStyle w:val="Heading1"/>
      </w:pPr>
      <w:r>
        <w:t>5. Model Training &amp; Results</w:t>
      </w:r>
    </w:p>
    <w:p>
      <w:pPr>
        <w:pStyle w:val="Heading2"/>
      </w:pPr>
      <w:r>
        <w:t>5.1 Train-Test Split</w:t>
      </w:r>
    </w:p>
    <w:p>
      <w:r>
        <w:t>The final dataset was split using an 80:20 stratified split. The training set contained 1,785,444 records and the test set contained 446,362 records. Stratification preserved the class distribution between the two sets. The final training input shape was (1,785,444, 55), while the test input shape was (446,362, 55).</w:t>
      </w:r>
    </w:p>
    <w:p>
      <w:pPr>
        <w:pStyle w:val="Heading2"/>
      </w:pPr>
      <w:r>
        <w:t>5.2 Models</w:t>
      </w:r>
    </w:p>
    <w:p>
      <w:r>
        <w:t>Three classification models were trained on the same preprocessed data: Logistic Regression as a baseline, Random Forest as an ensemble tree model, and XGBoost as a gradient-boosting model. Each model was evaluated on the same unseen test set.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304"/>
            <w:vAlign w:val="center"/>
            <w:shd w:fill="D9EAF7"/>
          </w:tcPr>
          <w:p>
            <w:pPr>
              <w:spacing w:after="0"/>
            </w:pPr>
            <w:r/>
            <w:r>
              <w:rPr>
                <w:rFonts w:ascii="Aptos" w:hAnsi="Aptos"/>
                <w:b/>
                <w:sz w:val="15"/>
              </w:rPr>
              <w:t>Model</w:t>
            </w:r>
          </w:p>
        </w:tc>
        <w:tc>
          <w:tcPr>
            <w:tcW w:type="dxa" w:w="1224"/>
            <w:vAlign w:val="center"/>
            <w:shd w:fill="D9EAF7"/>
          </w:tcPr>
          <w:p>
            <w:pPr>
              <w:spacing w:after="0"/>
            </w:pPr>
            <w:r/>
            <w:r>
              <w:rPr>
                <w:rFonts w:ascii="Aptos" w:hAnsi="Aptos"/>
                <w:b/>
                <w:sz w:val="15"/>
              </w:rPr>
              <w:t>Accuracy</w:t>
            </w:r>
          </w:p>
        </w:tc>
        <w:tc>
          <w:tcPr>
            <w:tcW w:type="dxa" w:w="1512"/>
            <w:vAlign w:val="center"/>
            <w:shd w:fill="D9EAF7"/>
          </w:tcPr>
          <w:p>
            <w:pPr>
              <w:spacing w:after="0"/>
            </w:pPr>
            <w:r/>
            <w:r>
              <w:rPr>
                <w:rFonts w:ascii="Aptos" w:hAnsi="Aptos"/>
                <w:b/>
                <w:sz w:val="15"/>
              </w:rPr>
              <w:t>Macro Precision</w:t>
            </w:r>
          </w:p>
        </w:tc>
        <w:tc>
          <w:tcPr>
            <w:tcW w:type="dxa" w:w="1512"/>
            <w:vAlign w:val="center"/>
            <w:shd w:fill="D9EAF7"/>
          </w:tcPr>
          <w:p>
            <w:pPr>
              <w:spacing w:after="0"/>
            </w:pPr>
            <w:r/>
            <w:r>
              <w:rPr>
                <w:rFonts w:ascii="Aptos" w:hAnsi="Aptos"/>
                <w:b/>
                <w:sz w:val="15"/>
              </w:rPr>
              <w:t>Macro Recall</w:t>
            </w:r>
          </w:p>
        </w:tc>
        <w:tc>
          <w:tcPr>
            <w:tcW w:type="dxa" w:w="1224"/>
            <w:vAlign w:val="center"/>
            <w:shd w:fill="D9EAF7"/>
          </w:tcPr>
          <w:p>
            <w:pPr>
              <w:spacing w:after="0"/>
            </w:pPr>
            <w:r/>
            <w:r>
              <w:rPr>
                <w:rFonts w:ascii="Aptos" w:hAnsi="Aptos"/>
                <w:b/>
                <w:sz w:val="15"/>
              </w:rPr>
              <w:t>Macro F1</w:t>
            </w:r>
          </w:p>
        </w:tc>
        <w:tc>
          <w:tcPr>
            <w:tcW w:type="dxa" w:w="1224"/>
            <w:vAlign w:val="center"/>
            <w:shd w:fill="D9EAF7"/>
          </w:tcPr>
          <w:p>
            <w:pPr>
              <w:spacing w:after="0"/>
            </w:pPr>
            <w:r/>
            <w:r>
              <w:rPr>
                <w:rFonts w:ascii="Aptos" w:hAnsi="Aptos"/>
                <w:b/>
                <w:sz w:val="15"/>
              </w:rPr>
              <w:t>Weighted F1</w:t>
            </w:r>
          </w:p>
        </w:tc>
      </w:tr>
      <w:tr>
        <w:tc>
          <w:tcPr>
            <w:tcW w:type="dxa" w:w="2304"/>
            <w:vAlign w:val="center"/>
          </w:tcPr>
          <w:p>
            <w:pPr>
              <w:spacing w:after="0"/>
            </w:pPr>
            <w:r/>
            <w:r>
              <w:rPr>
                <w:rFonts w:ascii="Aptos" w:hAnsi="Aptos"/>
                <w:b w:val="0"/>
                <w:sz w:val="15"/>
              </w:rPr>
              <w:t>Logistic Regression</w:t>
            </w:r>
          </w:p>
        </w:tc>
        <w:tc>
          <w:tcPr>
            <w:tcW w:type="dxa" w:w="1224"/>
            <w:vAlign w:val="center"/>
          </w:tcPr>
          <w:p>
            <w:pPr>
              <w:spacing w:after="0"/>
            </w:pPr>
            <w:r/>
            <w:r>
              <w:rPr>
                <w:rFonts w:ascii="Aptos" w:hAnsi="Aptos"/>
                <w:b w:val="0"/>
                <w:sz w:val="15"/>
              </w:rPr>
              <w:t>0.8222</w:t>
            </w:r>
          </w:p>
        </w:tc>
        <w:tc>
          <w:tcPr>
            <w:tcW w:type="dxa" w:w="1512"/>
            <w:vAlign w:val="center"/>
          </w:tcPr>
          <w:p>
            <w:pPr>
              <w:spacing w:after="0"/>
            </w:pPr>
            <w:r/>
            <w:r>
              <w:rPr>
                <w:rFonts w:ascii="Aptos" w:hAnsi="Aptos"/>
                <w:b w:val="0"/>
                <w:sz w:val="15"/>
              </w:rPr>
              <w:t>0.2993</w:t>
            </w:r>
          </w:p>
        </w:tc>
        <w:tc>
          <w:tcPr>
            <w:tcW w:type="dxa" w:w="1512"/>
            <w:vAlign w:val="center"/>
          </w:tcPr>
          <w:p>
            <w:pPr>
              <w:spacing w:after="0"/>
            </w:pPr>
            <w:r/>
            <w:r>
              <w:rPr>
                <w:rFonts w:ascii="Aptos" w:hAnsi="Aptos"/>
                <w:b w:val="0"/>
                <w:sz w:val="15"/>
              </w:rPr>
              <w:t>0.8752</w:t>
            </w:r>
          </w:p>
        </w:tc>
        <w:tc>
          <w:tcPr>
            <w:tcW w:type="dxa" w:w="1224"/>
            <w:vAlign w:val="center"/>
          </w:tcPr>
          <w:p>
            <w:pPr>
              <w:spacing w:after="0"/>
            </w:pPr>
            <w:r/>
            <w:r>
              <w:rPr>
                <w:rFonts w:ascii="Aptos" w:hAnsi="Aptos"/>
                <w:b w:val="0"/>
                <w:sz w:val="15"/>
              </w:rPr>
              <w:t>0.3552</w:t>
            </w:r>
          </w:p>
        </w:tc>
        <w:tc>
          <w:tcPr>
            <w:tcW w:type="dxa" w:w="1224"/>
            <w:vAlign w:val="center"/>
          </w:tcPr>
          <w:p>
            <w:pPr>
              <w:spacing w:after="0"/>
            </w:pPr>
            <w:r/>
            <w:r>
              <w:rPr>
                <w:rFonts w:ascii="Aptos" w:hAnsi="Aptos"/>
                <w:b w:val="0"/>
                <w:sz w:val="15"/>
              </w:rPr>
              <w:t>0.8841</w:t>
            </w:r>
          </w:p>
        </w:tc>
      </w:tr>
      <w:tr>
        <w:tc>
          <w:tcPr>
            <w:tcW w:type="dxa" w:w="2304"/>
            <w:vAlign w:val="center"/>
          </w:tcPr>
          <w:p>
            <w:pPr>
              <w:spacing w:after="0"/>
            </w:pPr>
            <w:r/>
            <w:r>
              <w:rPr>
                <w:rFonts w:ascii="Aptos" w:hAnsi="Aptos"/>
                <w:b w:val="0"/>
                <w:sz w:val="15"/>
              </w:rPr>
              <w:t>Random Forest</w:t>
            </w:r>
          </w:p>
        </w:tc>
        <w:tc>
          <w:tcPr>
            <w:tcW w:type="dxa" w:w="1224"/>
            <w:vAlign w:val="center"/>
          </w:tcPr>
          <w:p>
            <w:pPr>
              <w:spacing w:after="0"/>
            </w:pPr>
            <w:r/>
            <w:r>
              <w:rPr>
                <w:rFonts w:ascii="Aptos" w:hAnsi="Aptos"/>
                <w:b w:val="0"/>
                <w:sz w:val="15"/>
              </w:rPr>
              <w:t>0.9985</w:t>
            </w:r>
          </w:p>
        </w:tc>
        <w:tc>
          <w:tcPr>
            <w:tcW w:type="dxa" w:w="1512"/>
            <w:vAlign w:val="center"/>
          </w:tcPr>
          <w:p>
            <w:pPr>
              <w:spacing w:after="0"/>
            </w:pPr>
            <w:r/>
            <w:r>
              <w:rPr>
                <w:rFonts w:ascii="Aptos" w:hAnsi="Aptos"/>
                <w:b w:val="0"/>
                <w:sz w:val="15"/>
              </w:rPr>
              <w:t>0.9234</w:t>
            </w:r>
          </w:p>
        </w:tc>
        <w:tc>
          <w:tcPr>
            <w:tcW w:type="dxa" w:w="1512"/>
            <w:vAlign w:val="center"/>
          </w:tcPr>
          <w:p>
            <w:pPr>
              <w:spacing w:after="0"/>
            </w:pPr>
            <w:r/>
            <w:r>
              <w:rPr>
                <w:rFonts w:ascii="Aptos" w:hAnsi="Aptos"/>
                <w:b w:val="0"/>
                <w:sz w:val="15"/>
              </w:rPr>
              <w:t>0.8104</w:t>
            </w:r>
          </w:p>
        </w:tc>
        <w:tc>
          <w:tcPr>
            <w:tcW w:type="dxa" w:w="1224"/>
            <w:vAlign w:val="center"/>
          </w:tcPr>
          <w:p>
            <w:pPr>
              <w:spacing w:after="0"/>
            </w:pPr>
            <w:r/>
            <w:r>
              <w:rPr>
                <w:rFonts w:ascii="Aptos" w:hAnsi="Aptos"/>
                <w:b w:val="0"/>
                <w:sz w:val="15"/>
              </w:rPr>
              <w:t>0.8429</w:t>
            </w:r>
          </w:p>
        </w:tc>
        <w:tc>
          <w:tcPr>
            <w:tcW w:type="dxa" w:w="1224"/>
            <w:vAlign w:val="center"/>
          </w:tcPr>
          <w:p>
            <w:pPr>
              <w:spacing w:after="0"/>
            </w:pPr>
            <w:r/>
            <w:r>
              <w:rPr>
                <w:rFonts w:ascii="Aptos" w:hAnsi="Aptos"/>
                <w:b w:val="0"/>
                <w:sz w:val="15"/>
              </w:rPr>
              <w:t>0.9985</w:t>
            </w:r>
          </w:p>
        </w:tc>
      </w:tr>
      <w:tr>
        <w:tc>
          <w:tcPr>
            <w:tcW w:type="dxa" w:w="2304"/>
            <w:vAlign w:val="center"/>
          </w:tcPr>
          <w:p>
            <w:pPr>
              <w:spacing w:after="0"/>
            </w:pPr>
            <w:r/>
            <w:r>
              <w:rPr>
                <w:rFonts w:ascii="Aptos" w:hAnsi="Aptos"/>
                <w:b w:val="0"/>
                <w:sz w:val="15"/>
              </w:rPr>
              <w:t>XGBoost</w:t>
            </w:r>
          </w:p>
        </w:tc>
        <w:tc>
          <w:tcPr>
            <w:tcW w:type="dxa" w:w="1224"/>
            <w:vAlign w:val="center"/>
          </w:tcPr>
          <w:p>
            <w:pPr>
              <w:spacing w:after="0"/>
            </w:pPr>
            <w:r/>
            <w:r>
              <w:rPr>
                <w:rFonts w:ascii="Aptos" w:hAnsi="Aptos"/>
                <w:b w:val="0"/>
                <w:sz w:val="15"/>
              </w:rPr>
              <w:t>1.0000</w:t>
            </w:r>
          </w:p>
        </w:tc>
        <w:tc>
          <w:tcPr>
            <w:tcW w:type="dxa" w:w="1512"/>
            <w:vAlign w:val="center"/>
          </w:tcPr>
          <w:p>
            <w:pPr>
              <w:spacing w:after="0"/>
            </w:pPr>
            <w:r/>
            <w:r>
              <w:rPr>
                <w:rFonts w:ascii="Aptos" w:hAnsi="Aptos"/>
                <w:b w:val="0"/>
                <w:sz w:val="15"/>
              </w:rPr>
              <w:t>0.9300</w:t>
            </w:r>
          </w:p>
        </w:tc>
        <w:tc>
          <w:tcPr>
            <w:tcW w:type="dxa" w:w="1512"/>
            <w:vAlign w:val="center"/>
          </w:tcPr>
          <w:p>
            <w:pPr>
              <w:spacing w:after="0"/>
            </w:pPr>
            <w:r/>
            <w:r>
              <w:rPr>
                <w:rFonts w:ascii="Aptos" w:hAnsi="Aptos"/>
                <w:b w:val="0"/>
                <w:sz w:val="15"/>
              </w:rPr>
              <w:t>0.8400</w:t>
            </w:r>
          </w:p>
        </w:tc>
        <w:tc>
          <w:tcPr>
            <w:tcW w:type="dxa" w:w="1224"/>
            <w:vAlign w:val="center"/>
          </w:tcPr>
          <w:p>
            <w:pPr>
              <w:spacing w:after="0"/>
            </w:pPr>
            <w:r/>
            <w:r>
              <w:rPr>
                <w:rFonts w:ascii="Aptos" w:hAnsi="Aptos"/>
                <w:b w:val="0"/>
                <w:sz w:val="15"/>
              </w:rPr>
              <w:t>0.8700</w:t>
            </w:r>
          </w:p>
        </w:tc>
        <w:tc>
          <w:tcPr>
            <w:tcW w:type="dxa" w:w="1224"/>
            <w:vAlign w:val="center"/>
          </w:tcPr>
          <w:p>
            <w:pPr>
              <w:spacing w:after="0"/>
            </w:pPr>
            <w:r/>
            <w:r>
              <w:rPr>
                <w:rFonts w:ascii="Aptos" w:hAnsi="Aptos"/>
                <w:b w:val="0"/>
                <w:sz w:val="15"/>
              </w:rPr>
              <w:t>1.0000</w:t>
            </w:r>
          </w:p>
        </w:tc>
      </w:tr>
    </w:tbl>
    <w:p>
      <w:pPr>
        <w:spacing w:after="20"/>
      </w:pPr>
    </w:p>
    <w:p>
      <w:pPr>
        <w:pStyle w:val="Heading2"/>
      </w:pPr>
      <w:r>
        <w:t>5.3 Results and Observations</w:t>
      </w:r>
    </w:p>
    <w:p>
      <w:r>
        <w:t>The comparison shows different performance characteristics across the models. XGBoost records the highest accuracy, macro precision, macro F1 and weighted F1 among the three evaluated models. Logistic Regression records the highest macro recall. Because the dataset is strongly imbalanced, macro-level metrics are important: they give equal weight to each of the 15 classes instead of allowing the dominant Benign class to dominate the evaluation. The classification reports also show that the very rare classes remain more difficult to classify consistently than the major classes.</w:t>
      </w:r>
    </w:p>
    <w:p>
      <w:pPr>
        <w:pStyle w:val="Heading1"/>
      </w:pPr>
      <w:r>
        <w:t>6. Challenges &amp; Limitations</w:t>
      </w:r>
    </w:p>
    <w:p>
      <w:pPr>
        <w:pStyle w:val="ListBullet"/>
      </w:pPr>
      <w:r>
        <w:t>The dataset is large, making some preprocessing and model-training operations computationally expensive.</w:t>
      </w:r>
    </w:p>
    <w:p>
      <w:pPr>
        <w:pStyle w:val="ListBullet"/>
      </w:pPr>
      <w:r>
        <w:t>The 15-class target is highly imbalanced, with several attack classes containing very few test examples.</w:t>
      </w:r>
    </w:p>
    <w:p>
      <w:pPr>
        <w:pStyle w:val="ListBullet"/>
      </w:pPr>
      <w:r>
        <w:t>Some network-flow variables contained extreme values and invalid negative sentinel values, requiring investigation rather than automatic deletion.</w:t>
      </w:r>
    </w:p>
    <w:p>
      <w:pPr>
        <w:pStyle w:val="ListBullet"/>
      </w:pPr>
      <w:r>
        <w:t>Strong feature correlations created substantial redundancy and required careful feature selection.</w:t>
      </w:r>
    </w:p>
    <w:p>
      <w:pPr>
        <w:pStyle w:val="ListBullet"/>
      </w:pPr>
      <w:r>
        <w:t>Mutual-information analysis was computationally expensive at the full training-set scale and was therefore not used in the final selection pipeline.</w:t>
      </w:r>
    </w:p>
    <w:p>
      <w:pPr>
        <w:pStyle w:val="Heading1"/>
      </w:pPr>
      <w:r>
        <w:t>7. Post-Midterm Project Completion Plan</w:t>
      </w:r>
    </w:p>
    <w:p>
      <w:r>
        <w:t>The mid-term establishes the data-preprocessing and model-evaluation foundation. After the mid-term, the project will be developed further into a more complete NIDS application rather than remaining as a collection of Colab notebooks.</w:t>
      </w:r>
    </w:p>
    <w:p>
      <w:pPr>
        <w:pStyle w:val="ListBullet"/>
      </w:pPr>
      <w:r>
        <w:t>Move the trained pipeline from Google Colab to a local development environment such as VS Code with Python/Jupyter. The saved .npy datasets and preprocessing objects (imputer, scaler, encoders) allow the same processed pipeline to be reused without repeating the full preprocessing from scratch.</w:t>
      </w:r>
    </w:p>
    <w:p>
      <w:pPr>
        <w:pStyle w:val="ListBullet"/>
      </w:pPr>
      <w:r>
        <w:t>Organize the project into separate preprocessing, training, inference and application modules so that preprocessing and model prediction can be reproduced consistently.</w:t>
      </w:r>
    </w:p>
    <w:p>
      <w:pPr>
        <w:pStyle w:val="ListBullet"/>
      </w:pPr>
      <w:r>
        <w:t>Use the selected trained model for inference on new network-flow records and build a prediction pipeline that applies the same saved preprocessing steps before classification.</w:t>
      </w:r>
    </w:p>
    <w:p>
      <w:pPr>
        <w:pStyle w:val="ListBullet"/>
      </w:pPr>
      <w:r>
        <w:t>Develop an application interface/API for submitting or streaming network-flow data and returning the predicted traffic/attack class.</w:t>
      </w:r>
    </w:p>
    <w:p>
      <w:pPr>
        <w:pStyle w:val="ListBullet"/>
      </w:pPr>
      <w:r>
        <w:t>Extend the system toward real-time or near-real-time monitoring by integrating an appropriate traffic/flow capture source rather than relying only on static datasets.</w:t>
      </w:r>
    </w:p>
    <w:p>
      <w:pPr>
        <w:pStyle w:val="ListBullet"/>
      </w:pPr>
      <w:r>
        <w:t>Add monitoring and visualization for predicted attack types, class frequencies and model outputs, with the possibility of real-time alerts.</w:t>
      </w:r>
    </w:p>
    <w:p>
      <w:pPr>
        <w:pStyle w:val="ListBullet"/>
      </w:pPr>
      <w:r>
        <w:t>Package the application for deployment after local testing, potentially using FastAPI for the backend and a lightweight dashboard or web interface for visualization. Containerization can be considered later if required.</w:t>
      </w:r>
    </w:p>
    <w:p>
      <w:pPr>
        <w:pStyle w:val="ListBullet"/>
      </w:pPr>
      <w:r>
        <w:t>Evaluate the final system on additional data and investigate the rare-class performance before treating it as a deployable intrusion-detection solution.</w:t>
      </w:r>
    </w:p>
    <w:p>
      <w:r>
        <w:t>The transition away from Colab is therefore a deployment step, not a restart of the project. Google Drive currently stores the notebooks, processed arrays, preprocessing objects, trained models and metric files. These artifacts can be transferred to the local VS Code/Jupyter environment, where the same pipeline can be tested and then integrated into a deployable application.</w:t>
      </w:r>
    </w:p>
    <w:p>
      <w:pPr>
        <w:pStyle w:val="Heading1"/>
      </w:pPr>
      <w:r>
        <w:t>8. Conclusion</w:t>
      </w:r>
    </w:p>
    <w:p>
      <w:r>
        <w:t>This mid-term project established a systematic machine-learning pipeline for network intrusion detection. The work began by consolidating eight compatible Parquet files into a dataset of 2,313,810 records, followed by duplicate and constant-feature removal, stratified splitting, invalid-value handling, median imputation, categorical encoding, correlation-based feature selection, skewness transformation, outlier investigation and numerical scaling. The resulting dataset contained 55 model inputs and 15 target classes. Logistic Regression, Random Forest and XGBoost were then evaluated on the same test set. The results demonstrate the importance of both appropriate preprocessing and class-aware evaluation for a highly imbalanced cybersecurity dataset. After the mid-term, the saved pipeline and trained models will be moved from the Colab environment into a structured local application and extended toward practical inference, monitoring and deployment.</w:t>
      </w:r>
    </w:p>
    <w:p>
      <w:pPr>
        <w:pStyle w:val="Heading1"/>
      </w:pPr>
      <w:r>
        <w:t>9. References</w:t>
      </w:r>
    </w:p>
    <w:p>
      <w:r>
        <w:t>1. CSL236 Introduction to AI &amp; ML – Mid-Term Project Evaluation Guidelines, The NorthCap University.</w:t>
      </w:r>
    </w:p>
    <w:p>
      <w:r>
        <w:t>2. Project dataset: consolidated network-traffic Parquet files used for the NIDS project.</w:t>
      </w:r>
    </w:p>
    <w:p>
      <w:r>
        <w:t>3. scikit-learn documentation for preprocessing, model training and evaluation methods used in the project.</w:t>
      </w:r>
    </w:p>
    <w:p>
      <w:r>
        <w:t>4. XGBoost documentation for the multiclass gradient-boosting classifier used in the model comparison.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NIDS Project | CSL236 Mid-Term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