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480" w:line="360" w:lineRule="auto"/>
        <w:jc w:val="center"/>
      </w:pPr>
      <w:r>
        <w:rPr>
          <w:rFonts w:ascii="Times New Roman" w:hAnsi="Times New Roman" w:eastAsia="Myanmar Text"/>
          <w:b/>
          <w:i w:val="0"/>
          <w:color w:val="000000"/>
          <w:sz w:val="32"/>
        </w:rPr>
        <w:t>Myanmar Institute of Information Technology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828800" cy="557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i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57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Myanmar Text"/>
          <w:b/>
          <w:i w:val="0"/>
          <w:color w:val="000000"/>
          <w:sz w:val="28"/>
        </w:rPr>
        <w:t>I Semester 2026-2027</w:t>
      </w:r>
    </w:p>
    <w:p>
      <w:pPr>
        <w:spacing w:after="360" w:before="0" w:line="360" w:lineRule="auto"/>
        <w:jc w:val="center"/>
      </w:pPr>
      <w:r>
        <w:rPr>
          <w:rFonts w:ascii="Times New Roman" w:hAnsi="Times New Roman" w:eastAsia="Myanmar Text"/>
          <w:b/>
          <w:i w:val="0"/>
          <w:color w:val="000000"/>
          <w:sz w:val="32"/>
        </w:rPr>
        <w:t>Natural Language Processing Project 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268"/>
        <w:gridCol w:w="454"/>
        <w:gridCol w:w="6236"/>
      </w:tblGrid>
      <w:tr>
        <w:tc>
          <w:tcPr>
            <w:tcW w:type="dxa" w:w="3009"/>
          </w:tcPr>
          <w:p>
            <w:pPr>
              <w:spacing w:after="120" w:line="360" w:lineRule="auto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4"/>
              </w:rPr>
              <w:t>Project Title</w:t>
            </w:r>
          </w:p>
        </w:tc>
        <w:tc>
          <w:tcPr>
            <w:tcW w:type="dxa" w:w="3009"/>
          </w:tcPr>
          <w:p>
            <w:pPr>
              <w:spacing w:after="120" w:line="360" w:lineRule="auto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3009"/>
          </w:tcPr>
          <w:p>
            <w:pPr>
              <w:spacing w:after="120" w:line="360" w:lineRule="auto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4"/>
              </w:rPr>
              <w:t>Context-Aware Myanmar Language Tutor for Computer Engineering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268"/>
        <w:gridCol w:w="454"/>
        <w:gridCol w:w="6236"/>
      </w:tblGrid>
      <w:tr>
        <w:tc>
          <w:tcPr>
            <w:tcW w:type="dxa" w:w="3009"/>
          </w:tcPr>
          <w:p>
            <w:pPr>
              <w:spacing w:after="120" w:line="360" w:lineRule="auto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4"/>
              </w:rPr>
              <w:t>Project Members</w:t>
            </w:r>
          </w:p>
        </w:tc>
        <w:tc>
          <w:tcPr>
            <w:tcW w:type="dxa" w:w="3009"/>
          </w:tcPr>
          <w:p>
            <w:pPr>
              <w:spacing w:after="120" w:line="360" w:lineRule="auto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3009"/>
          </w:tcPr>
          <w:p>
            <w:pPr>
              <w:spacing w:after="120" w:line="360" w:lineRule="auto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4"/>
              </w:rPr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Roll Number</w:t>
            </w:r>
          </w:p>
        </w:tc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Name</w:t>
            </w:r>
          </w:p>
        </w:tc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Role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2021-MIIT-CSE-064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Si Thu Tun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System Developing, Dataset Preparation, Evaluation, Report Writing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2021-MIIT-CSE-085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Wai Yan Win Kyaw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Dataset Preparation</w:t>
            </w:r>
          </w:p>
        </w:tc>
      </w:tr>
    </w:tbl>
    <w:p>
      <w:r>
        <w:br w:type="page"/>
      </w:r>
    </w:p>
    <w:p>
      <w:pPr>
        <w:spacing w:after="320" w:before="240" w:line="360" w:lineRule="auto"/>
        <w:jc w:val="center"/>
      </w:pPr>
      <w:r>
        <w:rPr>
          <w:rFonts w:ascii="Times New Roman" w:hAnsi="Times New Roman" w:eastAsia="Myanmar Text"/>
          <w:b/>
          <w:i w:val="0"/>
          <w:color w:val="000000"/>
          <w:sz w:val="32"/>
        </w:rPr>
        <w:t>Table of Contents</w:t>
      </w:r>
    </w:p>
    <w:p>
      <w:pPr>
        <w:tabs>
          <w:tab w:pos="8787" w:val="right" w:leader="dot"/>
        </w:tabs>
        <w:spacing w:after="40"/>
        <w:ind w:left="0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Chapter 1: Introduction</w:t>
        <w:tab/>
        <w:t>3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1.1 What is the Computer Engineering Tutor?</w:t>
        <w:tab/>
        <w:t>3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1.2 The Importance of a Burmese Computer Engineering Tutor</w:t>
        <w:tab/>
        <w:t>3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1.3 Project Overview</w:t>
        <w:tab/>
        <w:t>3</w:t>
      </w:r>
    </w:p>
    <w:p>
      <w:pPr>
        <w:tabs>
          <w:tab w:pos="8787" w:val="right" w:leader="dot"/>
        </w:tabs>
        <w:spacing w:after="40"/>
        <w:ind w:left="0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Chapter 2: Methodology</w:t>
        <w:tab/>
        <w:t>5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2.1 Knowledge Notes</w:t>
        <w:tab/>
        <w:t>5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2.2 Technologies Used</w:t>
        <w:tab/>
        <w:t>5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2.3 Routing</w:t>
        <w:tab/>
        <w:t>5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2.4 Retrieval</w:t>
        <w:tab/>
        <w:t>6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2.5 Generation</w:t>
        <w:tab/>
        <w:t>6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2.6 System Process Flow</w:t>
        <w:tab/>
        <w:t>6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2.7 Deployment</w:t>
        <w:tab/>
        <w:t>8</w:t>
      </w:r>
    </w:p>
    <w:p>
      <w:pPr>
        <w:tabs>
          <w:tab w:pos="8787" w:val="right" w:leader="dot"/>
        </w:tabs>
        <w:spacing w:after="40"/>
        <w:ind w:left="0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Chapter 3: Evaluation</w:t>
        <w:tab/>
        <w:t>10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3.1 Evaluation Metrics</w:t>
        <w:tab/>
        <w:t>10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3.2 Results</w:t>
        <w:tab/>
        <w:t>10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3.3 Comparison with Gemini Chat</w:t>
        <w:tab/>
        <w:t>11</w:t>
      </w:r>
    </w:p>
    <w:p>
      <w:pPr>
        <w:tabs>
          <w:tab w:pos="8787" w:val="right" w:leader="dot"/>
        </w:tabs>
        <w:spacing w:after="40"/>
        <w:ind w:left="0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Chapter 4: Conclusion</w:t>
        <w:tab/>
        <w:t>12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4.1 Result</w:t>
        <w:tab/>
        <w:t>12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4.2 Future Work</w:t>
        <w:tab/>
        <w:t>12</w:t>
      </w:r>
    </w:p>
    <w:p>
      <w:pPr>
        <w:tabs>
          <w:tab w:pos="8787" w:val="right" w:leader="dot"/>
        </w:tabs>
        <w:spacing w:after="40"/>
        <w:ind w:left="425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4.3 Conclusion</w:t>
        <w:tab/>
        <w:t>12</w:t>
      </w:r>
    </w:p>
    <w:p>
      <w:pPr>
        <w:tabs>
          <w:tab w:pos="8787" w:val="right" w:leader="dot"/>
        </w:tabs>
        <w:spacing w:after="40"/>
        <w:ind w:left="0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References</w:t>
        <w:tab/>
        <w:t>13</w:t>
      </w:r>
    </w:p>
    <w:p>
      <w:r>
        <w:br w:type="page"/>
      </w:r>
    </w:p>
    <w:p>
      <w:pPr>
        <w:pStyle w:val="Heading1"/>
        <w:spacing w:after="120" w:before="0" w:line="360" w:lineRule="auto"/>
        <w:jc w:val="center"/>
      </w:pPr>
      <w:r>
        <w:rPr>
          <w:rFonts w:ascii="Times New Roman" w:hAnsi="Times New Roman" w:eastAsia="Myanmar Text"/>
          <w:b/>
          <w:i w:val="0"/>
          <w:color w:val="000000"/>
          <w:sz w:val="32"/>
        </w:rPr>
        <w:t>Chapter 1</w:t>
      </w:r>
    </w:p>
    <w:p>
      <w:pPr>
        <w:spacing w:after="360" w:before="0" w:line="360" w:lineRule="auto"/>
        <w:jc w:val="center"/>
      </w:pPr>
      <w:r>
        <w:rPr>
          <w:rFonts w:ascii="Times New Roman" w:hAnsi="Times New Roman" w:eastAsia="Myanmar Text"/>
          <w:b/>
          <w:i w:val="0"/>
          <w:color w:val="000000"/>
          <w:sz w:val="32"/>
        </w:rPr>
        <w:t>Introduction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1.1 What is the Computer Engineering Tutor?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This project is a Burmese-language assistant for CSE and ECE students at Myanmar Institute of Information Technology. Gemini (gemini-3.1-flash-lite) tutors computer-engineering subjects: programming (algorithms, Python, web, pasted code) and CSE/ECE lecture content (for example Ohm’s law, circuits, digital electronics, OS, networks). Those turns use a spoken-tutor prompt and no retrieval. Questions about the CSE or ECE B.E. (Hons.) programme, bachelor admission, faculty, and campus retrieve local JSONL notes with gemini-embedding-001; the same chat model then answers only from those passages and lists source URLs. Chit-chat, biology, general physics, and other non-CE, non-MIIT questions receive a fixed Burmese refusal.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The system is not a locally fine-tuned language model. Ask-time routing uses keyword rules, follow-up inheritance over chat history, and an optional JSON classifier. The campus demo is Gradio, with Myanmar neural TTS (edge-tts).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1.2 The Importance of a Burmese Computer Engineering Tutor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CSE and ECE students at MIIT often need help in Myanmar while keeping English for people, brands, course codes, and technical terms. A general chat model can explain Ohm’s law or Python, but it invents staff biographies and elective codes. A hybrid tutor closes that gap: Gemini for computer-engineering subjects in Burmese, retrieval-augmented generation (RAG) for CSE/ECE curriculum and admission notes plus campus and faculty facts with source URLs, and a refusal for chit-chat and non-CE topics.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1.3 Project Overview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A classifier labels each turn as programming, MIIT, or out of scope. The programming label includes coding and CSE/ECE lecture questions; those turns use a tutor prompt with no retrieval. MIIT turns—CSE/ECE years, electives, capstone, admission, and faculty—retrieve JSONL passages with embeddings and constrain generation to those notes. Short follow-ups in Gradio inherit the prior MIIT or programming thread so a second ask stays on the same person, programme, or subject.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Gradio keeps multi-turn chats, Light/Dark theme, and Listen (edge-tts). An HTTP API and CLI share the same HybridEngine without conversation memory. After make miit-index, the demo runs with make app.</w:t>
      </w:r>
    </w:p>
    <w:p>
      <w:r>
        <w:br w:type="page"/>
      </w:r>
    </w:p>
    <w:p>
      <w:pPr>
        <w:pStyle w:val="Heading1"/>
        <w:spacing w:after="120" w:before="0" w:line="360" w:lineRule="auto"/>
        <w:jc w:val="center"/>
      </w:pPr>
      <w:r>
        <w:rPr>
          <w:rFonts w:ascii="Times New Roman" w:hAnsi="Times New Roman" w:eastAsia="Myanmar Text"/>
          <w:b/>
          <w:i w:val="0"/>
          <w:color w:val="000000"/>
          <w:sz w:val="32"/>
        </w:rPr>
        <w:t>Chapter 2</w:t>
      </w:r>
    </w:p>
    <w:p>
      <w:pPr>
        <w:spacing w:after="360" w:before="0" w:line="360" w:lineRule="auto"/>
        <w:jc w:val="center"/>
      </w:pPr>
      <w:r>
        <w:rPr>
          <w:rFonts w:ascii="Times New Roman" w:hAnsi="Times New Roman" w:eastAsia="Myanmar Text"/>
          <w:b/>
          <w:i w:val="0"/>
          <w:color w:val="000000"/>
          <w:sz w:val="32"/>
        </w:rPr>
        <w:t>Methodology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2.1 Knowledge Notes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Campus facts live in JSONL records {id, text, sources[]} under data/miit/. All *.jsonl files are loaded. Embeddings are stored in data/miit/index.json (rebuilt with make miit-index). There is no relational database.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File</w:t>
            </w:r>
          </w:p>
        </w:tc>
        <w:tc>
          <w:tcPr>
            <w:tcW w:type="dxa" w:w="4513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Content</w:t>
            </w:r>
          </w:p>
        </w:tc>
      </w:tr>
      <w:tr>
        <w:tc>
          <w:tcPr>
            <w:tcW w:type="dxa" w:w="451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institute.jsonl</w:t>
            </w:r>
          </w:p>
        </w:tc>
        <w:tc>
          <w:tcPr>
            <w:tcW w:type="dxa" w:w="451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Campus, governance, programmes</w:t>
            </w:r>
          </w:p>
        </w:tc>
      </w:tr>
      <w:tr>
        <w:tc>
          <w:tcPr>
            <w:tcW w:type="dxa" w:w="451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bachelor_admission.jsonl</w:t>
            </w:r>
          </w:p>
        </w:tc>
        <w:tc>
          <w:tcPr>
            <w:tcW w:type="dxa" w:w="451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B.E. (Hons) CSE/ECE admission</w:t>
            </w:r>
          </w:p>
        </w:tc>
      </w:tr>
      <w:tr>
        <w:tc>
          <w:tcPr>
            <w:tcW w:type="dxa" w:w="451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cse_be_hons.jsonl</w:t>
            </w:r>
          </w:p>
        </w:tc>
        <w:tc>
          <w:tcPr>
            <w:tcW w:type="dxa" w:w="451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CSE years, electives, capstone</w:t>
            </w:r>
          </w:p>
        </w:tc>
      </w:tr>
      <w:tr>
        <w:tc>
          <w:tcPr>
            <w:tcW w:type="dxa" w:w="451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ece_be_hons.jsonl</w:t>
            </w:r>
          </w:p>
        </w:tc>
        <w:tc>
          <w:tcPr>
            <w:tcW w:type="dxa" w:w="451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ECE years, electives, capstone</w:t>
            </w:r>
          </w:p>
        </w:tc>
      </w:tr>
      <w:tr>
        <w:tc>
          <w:tcPr>
            <w:tcW w:type="dxa" w:w="451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Faculty JSONL files</w:t>
            </w:r>
          </w:p>
        </w:tc>
        <w:tc>
          <w:tcPr>
            <w:tcW w:type="dxa" w:w="451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Role, research, papers, work email</w:t>
            </w:r>
          </w:p>
        </w:tc>
      </w:tr>
    </w:tbl>
    <w:p>
      <w:pPr>
        <w:spacing w:after="240" w:before="80" w:line="276" w:lineRule="auto"/>
        <w:jc w:val="center"/>
      </w:pPr>
      <w:r>
        <w:rPr>
          <w:rFonts w:ascii="Times New Roman" w:hAnsi="Times New Roman" w:eastAsia="Myanmar Text"/>
          <w:b w:val="0"/>
          <w:i w:val="0"/>
          <w:color w:val="000000"/>
          <w:sz w:val="22"/>
        </w:rPr>
        <w:t>Table 2.1: Knowledge files under data/miit/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2.2 Technologies Used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Python 3.12, uv, pytest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google-genai SDK: gemini-3.1-flash-lite (chat) and gemini-embedding-001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NumPy cosine similarity over the embedding index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Gradio 6 Blocks UI; Litestar POST /v1/chat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edge-tts: my-MM-NilarNeural and my-MM-ThihaNeural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2.3 Routing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classify_route labels each question. Rule hints fire first (MIIT names and campus terms, or programming terms and pasted code). If the ask is a short follow-up, inherit_thread_route keeps the last MIIT or programming topic. An optional Gemini JSON classifier with disk cache runs when rules miss. Out-of-scope questions that still sit on a prior thread are remapped. other with no thread returns a constant Burmese sentence and never calls generation.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2.4 Retrieval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MIIT turns call retrieve_miit. The query concatenates the last two history questions with the new question, embeds with gemini-embedding-001, and ranks index chunks by cosine similarity. Default top-k is 3 (higher for curriculum and paper questions). A token-overlap fallback runs if the index is missing or embed quota fails. Programming turns do not retrieve.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2.5 Generation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Gemini receives a flattened prompt. Programming sampling uses temperature 0.85; MIIT uses 0.7. Max tokens follow TUTOR_CLOUD_MAX_TOKENS (3072). The client retries network errors, 5xx, and 429. A primary 429 can switch GEMINI_API_KEY_FALLBACK for chat only. Prompts keep English for people and technical terms, and they forbid inventing electives or biographies.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2.6 System Process Flow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Figure 2.6 is the ISO 5807 flowchart of one Ask: capsule Start and End, parallelograms for input and output, rectangles for processes, diamonds with Yes or No on the arrows. Listen (edge-tts) is a later UI action and is not on this chart. Figure 2.7 is the offline index build.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983145" cy="585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1_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3145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80" w:line="276" w:lineRule="auto"/>
        <w:jc w:val="center"/>
      </w:pPr>
      <w:r>
        <w:rPr>
          <w:rFonts w:ascii="Times New Roman" w:hAnsi="Times New Roman" w:eastAsia="Myanmar Text"/>
          <w:b w:val="0"/>
          <w:i w:val="0"/>
          <w:color w:val="000000"/>
          <w:sz w:val="22"/>
        </w:rPr>
        <w:t>Figure 2.6: One Ask turn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2584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2_ind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8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80" w:line="276" w:lineRule="auto"/>
        <w:jc w:val="center"/>
      </w:pPr>
      <w:r>
        <w:rPr>
          <w:rFonts w:ascii="Times New Roman" w:hAnsi="Times New Roman" w:eastAsia="Myanmar Text"/>
          <w:b w:val="0"/>
          <w:i w:val="0"/>
          <w:color w:val="000000"/>
          <w:sz w:val="22"/>
        </w:rPr>
        <w:t>Figure 2.7: Offline knowledge index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2.7 Deployment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The examiner runs make preflight &amp;&amp; make app and opens http://localhost:7860. The page title is Computer Engineering Tutor. Students type in the composer, click Ask, optionally Listen, switch Light/Dark, or start a New chat. Chats persist in results/chats.json (local, gitignored). POST /v1/chat and the CLI call the same engine without history. Network is required for Gemini, embeddings, and edge-tts. No GPU is required. Figures 2.8 and 2.9 show the campus demo answering an admission question and a faculty follow-up from notes.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07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8_admiss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0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80" w:line="276" w:lineRule="auto"/>
        <w:jc w:val="center"/>
      </w:pPr>
      <w:r>
        <w:rPr>
          <w:rFonts w:ascii="Times New Roman" w:hAnsi="Times New Roman" w:eastAsia="Myanmar Text"/>
          <w:b w:val="0"/>
          <w:i w:val="0"/>
          <w:color w:val="000000"/>
          <w:sz w:val="22"/>
        </w:rPr>
        <w:t>Figure 2.8: Gradio Ask for bachelor admission (notes and source URL)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593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9_facult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80" w:line="276" w:lineRule="auto"/>
        <w:jc w:val="center"/>
      </w:pPr>
      <w:r>
        <w:rPr>
          <w:rFonts w:ascii="Times New Roman" w:hAnsi="Times New Roman" w:eastAsia="Myanmar Text"/>
          <w:b w:val="0"/>
          <w:i w:val="0"/>
          <w:color w:val="000000"/>
          <w:sz w:val="22"/>
        </w:rPr>
        <w:t>Figure 2.9: Gradio faculty thread with a research follow-up</w:t>
      </w:r>
    </w:p>
    <w:p>
      <w:r>
        <w:br w:type="page"/>
      </w:r>
    </w:p>
    <w:p>
      <w:pPr>
        <w:pStyle w:val="Heading1"/>
        <w:spacing w:after="120" w:before="0" w:line="360" w:lineRule="auto"/>
        <w:jc w:val="center"/>
      </w:pPr>
      <w:r>
        <w:rPr>
          <w:rFonts w:ascii="Times New Roman" w:hAnsi="Times New Roman" w:eastAsia="Myanmar Text"/>
          <w:b/>
          <w:i w:val="0"/>
          <w:color w:val="000000"/>
          <w:sz w:val="32"/>
        </w:rPr>
        <w:t>Chapter 3</w:t>
      </w:r>
    </w:p>
    <w:p>
      <w:pPr>
        <w:spacing w:after="360" w:before="0" w:line="360" w:lineRule="auto"/>
        <w:jc w:val="center"/>
      </w:pPr>
      <w:r>
        <w:rPr>
          <w:rFonts w:ascii="Times New Roman" w:hAnsi="Times New Roman" w:eastAsia="Myanmar Text"/>
          <w:b/>
          <w:i w:val="0"/>
          <w:color w:val="000000"/>
          <w:sz w:val="32"/>
        </w:rPr>
        <w:t>Evaluation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3.1 Evaluation Metrics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Official scores use a labelled file eval/items.jsonl and make eval. Gradio Myanmar-script ratio is a language-style log, not accuracy. Liu et al. (2016) show that surface overlap correlates poorly with dialogue quality (https://aclanthology.org/D16-1230/).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Routing is a three-way label (miit, programming, other). We report Accuracy and Macro-F1 as in Sokolova and Lapalme (2009), https://doi.org/10.1016/j.ipm.2009.03.002. Retrieval of MIIT notes is scored with Recall@3 and MRR as in Karpukhin et al. (2020) Dense Passage Retrieval, https://aclanthology.org/2020.emnlp-main.550/, with IR definitions from Manning, Raghavan and Schütze (2008), https://nlp.stanford.edu/IR-book/. Closed campus facts use Exact Match on gold spans, the protocol Lewis et al. (2020) used for RAG QA, https://arxiv.org/abs/2005.11401.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3.2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Metric</w:t>
            </w:r>
          </w:p>
        </w:tc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n</w:t>
            </w:r>
          </w:p>
        </w:tc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Score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Accuracy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58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1.000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Macro-F1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58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1.000</w:t>
            </w:r>
          </w:p>
        </w:tc>
      </w:tr>
    </w:tbl>
    <w:p>
      <w:pPr>
        <w:spacing w:after="240" w:before="80" w:line="276" w:lineRule="auto"/>
        <w:jc w:val="center"/>
      </w:pPr>
      <w:r>
        <w:rPr>
          <w:rFonts w:ascii="Times New Roman" w:hAnsi="Times New Roman" w:eastAsia="Myanmar Text"/>
          <w:b w:val="0"/>
          <w:i w:val="0"/>
          <w:color w:val="000000"/>
          <w:sz w:val="22"/>
        </w:rPr>
        <w:t>Table 3.1: Route classification (Sokolova &amp; Lapalme, 2009)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Metric</w:t>
            </w:r>
          </w:p>
        </w:tc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n</w:t>
            </w:r>
          </w:p>
        </w:tc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Score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Recall@3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0.870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MRR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0.775</w:t>
            </w:r>
          </w:p>
        </w:tc>
      </w:tr>
    </w:tbl>
    <w:p>
      <w:pPr>
        <w:spacing w:after="240" w:before="80" w:line="276" w:lineRule="auto"/>
        <w:jc w:val="center"/>
      </w:pPr>
      <w:r>
        <w:rPr>
          <w:rFonts w:ascii="Times New Roman" w:hAnsi="Times New Roman" w:eastAsia="Myanmar Text"/>
          <w:b w:val="0"/>
          <w:i w:val="0"/>
          <w:color w:val="000000"/>
          <w:sz w:val="22"/>
        </w:rPr>
        <w:t>Table 3.2: Dense retrieval (Karpukhin et al., 2020)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Metric</w:t>
            </w:r>
          </w:p>
        </w:tc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n</w:t>
            </w:r>
          </w:p>
        </w:tc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Score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Exact Match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0.643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Token F1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0.084</w:t>
            </w:r>
          </w:p>
        </w:tc>
      </w:tr>
    </w:tbl>
    <w:p>
      <w:pPr>
        <w:spacing w:after="240" w:before="80" w:line="276" w:lineRule="auto"/>
        <w:jc w:val="center"/>
      </w:pPr>
      <w:r>
        <w:rPr>
          <w:rFonts w:ascii="Times New Roman" w:hAnsi="Times New Roman" w:eastAsia="Myanmar Text"/>
          <w:b w:val="0"/>
          <w:i w:val="0"/>
          <w:color w:val="000000"/>
          <w:sz w:val="22"/>
        </w:rPr>
        <w:t>Table 3.3: Closed-fact generation (Lewis et al., 2020)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On the labelled set (eval/items.jsonl, 58 items covering MIIT notes, computer-engineering subjects, out-of-scope, and follow-ups) the router reached Accuracy 1.000 and Macro-F1 1.000 (Sokolova and Lapalme, 2009). Dense retrieval of the correct note reached Recall@3 0.870 and MRR 0.775 (Karpukhin et al., 2020; Manning et al., 2008). Closed campus facts reached Exact Match 0.643 (Lewis et al., 2020): gold names and numbers appear in the Burmese answers. These are the same metric families used in published intent classification, passage retrieval, and RAG QA.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Exact Match is the primary generation number: each gold span (for example Win Aye) must appear in the Burmese answer. Token F1 is lower because the tutor writes a full paragraph while the gold is a short fact string.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3.3 Comparison with Gemini Chat</w:t>
      </w:r>
    </w:p>
    <w:p>
      <w:pPr>
        <w:spacing w:after="160" w:before="0" w:line="360" w:lineRule="auto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Programming answers use the same Gemini chat model as a public Gemini session. The project is stronger on grounded campus QA: local notes, source URLs, and routing. Table 3.4 records those system behaviours; it does not quote a live Gemini transcript.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Aspect</w:t>
            </w:r>
          </w:p>
        </w:tc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This project</w:t>
            </w:r>
          </w:p>
        </w:tc>
        <w:tc>
          <w:tcPr>
            <w:tcW w:type="dxa" w:w="3009"/>
            <w:shd w:val="clear" w:color="auto" w:fill="D9D9D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Myanmar Text"/>
                <w:b/>
                <w:i w:val="0"/>
                <w:color w:val="000000"/>
                <w:sz w:val="22"/>
              </w:rPr>
              <w:t>Gemini online chat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MIIT facts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Answers only from retrieved JSONL notes and lists source URLs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No local note constraint; may mix or invent campus facts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Curriculum / electives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Must not invent course codes that are absent from the notes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Can invent elective names and codes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Faculty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Role, papers, and email only from faculty JSONL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Can invent titles and publications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Out of scope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Fixed Burmese refusal; generation is not called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Will answer weather, news, and chit-chat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Follow-up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Inherits the last MIIT or programming thread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A short follow-up may start a new topic</w:t>
            </w:r>
          </w:p>
        </w:tc>
      </w:tr>
      <w:tr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CE subjects / coding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Same Gemini model; gain is routing plus campus RAG</w:t>
            </w:r>
          </w:p>
        </w:tc>
        <w:tc>
          <w:tcPr>
            <w:tcW w:type="dxa" w:w="300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Myanmar Text"/>
                <w:b w:val="0"/>
                <w:i w:val="0"/>
                <w:color w:val="000000"/>
                <w:sz w:val="22"/>
              </w:rPr>
              <w:t>Same class of chat model without MIIT retrieval</w:t>
            </w:r>
          </w:p>
        </w:tc>
      </w:tr>
    </w:tbl>
    <w:p>
      <w:pPr>
        <w:spacing w:after="240" w:before="80" w:line="276" w:lineRule="auto"/>
        <w:jc w:val="center"/>
      </w:pPr>
      <w:r>
        <w:rPr>
          <w:rFonts w:ascii="Times New Roman" w:hAnsi="Times New Roman" w:eastAsia="Myanmar Text"/>
          <w:b w:val="0"/>
          <w:i w:val="0"/>
          <w:color w:val="000000"/>
          <w:sz w:val="22"/>
        </w:rPr>
        <w:t>Table 3.4: This project versus Gemini online chat</w:t>
      </w:r>
    </w:p>
    <w:p>
      <w:r>
        <w:br w:type="page"/>
      </w:r>
    </w:p>
    <w:p>
      <w:pPr>
        <w:pStyle w:val="Heading1"/>
        <w:spacing w:after="120" w:before="0" w:line="360" w:lineRule="auto"/>
        <w:jc w:val="center"/>
      </w:pPr>
      <w:r>
        <w:rPr>
          <w:rFonts w:ascii="Times New Roman" w:hAnsi="Times New Roman" w:eastAsia="Myanmar Text"/>
          <w:b/>
          <w:i w:val="0"/>
          <w:color w:val="000000"/>
          <w:sz w:val="32"/>
        </w:rPr>
        <w:t>Chapter 4</w:t>
      </w:r>
    </w:p>
    <w:p>
      <w:pPr>
        <w:spacing w:after="360" w:before="0" w:line="360" w:lineRule="auto"/>
        <w:jc w:val="center"/>
      </w:pPr>
      <w:r>
        <w:rPr>
          <w:rFonts w:ascii="Times New Roman" w:hAnsi="Times New Roman" w:eastAsia="Myanmar Text"/>
          <w:b/>
          <w:i w:val="0"/>
          <w:color w:val="000000"/>
          <w:sz w:val="32"/>
        </w:rPr>
        <w:t>Conclusion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4.1 Result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The tutor uses Gemini for computer-engineering subject tutoring in Burmese, and embedding RAG over public notes for programme, admission, faculty, and campus facts. On the labelled set the router Accuracy is 1.000, retrieval Recall@3 is 0.870, and closed-fact Exact Match is 0.643. The Gradio campus demo supports follow-up threads, Myanmar TTS, and the same HybridEngine as the API and CLI.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4.2 Future Work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Persist API and CLI history so follow-up inherit works outside Gradio.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Host a public demo on a free Spaces tier.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Enlarge the public note set while keeping source URLs.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Optional AIS-style attribution scoring of MIIT answers (Rashkin et al., 2021).</w:t>
      </w:r>
    </w:p>
    <w:p>
      <w:pPr>
        <w:pStyle w:val="Heading2"/>
        <w:keepNext/>
        <w:spacing w:before="280" w:after="160"/>
        <w:jc w:val="left"/>
      </w:pPr>
      <w:r>
        <w:rPr>
          <w:rFonts w:ascii="Times New Roman" w:hAnsi="Times New Roman" w:eastAsia="Myanmar Text"/>
          <w:b/>
          <w:i w:val="0"/>
          <w:color w:val="000000"/>
          <w:sz w:val="24"/>
        </w:rPr>
        <w:t>4.3 Conclusion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The project shows applied NLP on a real student task: intent routing, dense retrieval, constrained generation, and Myanmar speech, without claiming a new foundation model. Gemini answers coding and CSE/ECE lecture questions; local CSE and ECE notes ground programme and campus facts.</w:t>
      </w:r>
    </w:p>
    <w:p>
      <w:r>
        <w:br w:type="page"/>
      </w:r>
    </w:p>
    <w:p>
      <w:pPr>
        <w:pStyle w:val="Heading1"/>
        <w:spacing w:after="320" w:before="240" w:line="360" w:lineRule="auto"/>
        <w:jc w:val="center"/>
      </w:pPr>
      <w:r>
        <w:rPr>
          <w:rFonts w:ascii="Times New Roman" w:hAnsi="Times New Roman" w:eastAsia="Myanmar Text"/>
          <w:b/>
          <w:i w:val="0"/>
          <w:color w:val="000000"/>
          <w:sz w:val="32"/>
        </w:rPr>
        <w:t>References</w:t>
      </w:r>
    </w:p>
    <w:p>
      <w:pPr>
        <w:spacing w:after="120" w:line="360" w:lineRule="auto"/>
        <w:ind w:left="709" w:hanging="709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[1]  Jurafsky, D. &amp; Martin, J. H. Speech and Language Processing. https://web.stanford.edu/~jurafsky/slp3/</w:t>
      </w:r>
    </w:p>
    <w:p>
      <w:pPr>
        <w:spacing w:after="120" w:line="360" w:lineRule="auto"/>
        <w:ind w:left="709" w:hanging="709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[2]  Karpukhin, V. et al. (2020). Dense Passage Retrieval for Open-Domain Question Answering. EMNLP. https://aclanthology.org/2020.emnlp-main.550/</w:t>
      </w:r>
    </w:p>
    <w:p>
      <w:pPr>
        <w:spacing w:after="120" w:line="360" w:lineRule="auto"/>
        <w:ind w:left="709" w:hanging="709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[3]  Lewis, P. et al. (2020). Retrieval-Augmented Generation for Knowledge-Intensive NLP Tasks. NeurIPS. https://arxiv.org/abs/2005.11401</w:t>
      </w:r>
    </w:p>
    <w:p>
      <w:pPr>
        <w:spacing w:after="120" w:line="360" w:lineRule="auto"/>
        <w:ind w:left="709" w:hanging="709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[4]  Liu, C.-W. et al. (2016). How NOT to Evaluate Your Dialogue System. EMNLP. https://aclanthology.org/D16-1230/</w:t>
      </w:r>
    </w:p>
    <w:p>
      <w:pPr>
        <w:spacing w:after="120" w:line="360" w:lineRule="auto"/>
        <w:ind w:left="709" w:hanging="709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[5]  Manning, C. D., Raghavan, P. &amp; Schütze, H. (2008). Introduction to Information Retrieval. https://nlp.stanford.edu/IR-book/</w:t>
      </w:r>
    </w:p>
    <w:p>
      <w:pPr>
        <w:spacing w:after="120" w:line="360" w:lineRule="auto"/>
        <w:ind w:left="709" w:hanging="709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[6]  Myanmar Institute of Information Technology. https://www.miit.edu.mm/</w:t>
      </w:r>
    </w:p>
    <w:p>
      <w:pPr>
        <w:spacing w:after="120" w:line="360" w:lineRule="auto"/>
        <w:ind w:left="709" w:hanging="709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[7]  Rashkin, H. et al. (2021). Measuring Attribution in Generated Text. https://arxiv.org/abs/2112.12870</w:t>
      </w:r>
    </w:p>
    <w:p>
      <w:pPr>
        <w:spacing w:after="120" w:line="360" w:lineRule="auto"/>
        <w:ind w:left="709" w:hanging="709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[8]  Sokolova, M. &amp; Lapalme, G. (2009). A systematic analysis of performance measures for classification tasks. IP&amp;M. https://doi.org/10.1016/j.ipm.2009.03.002</w:t>
      </w:r>
    </w:p>
    <w:p>
      <w:pPr>
        <w:spacing w:after="120" w:line="360" w:lineRule="auto"/>
        <w:ind w:left="709" w:hanging="709"/>
      </w:pPr>
      <w:r>
        <w:rPr>
          <w:rFonts w:ascii="Times New Roman" w:hAnsi="Times New Roman" w:eastAsia="Myanmar Text"/>
          <w:b w:val="0"/>
          <w:i w:val="0"/>
          <w:color w:val="000000"/>
          <w:sz w:val="24"/>
        </w:rPr>
        <w:t>[9]  van der Lee, C. et al. (2019). Best practices for the human evaluation of automatically generated text. INLG. https://aclanthology.org/W19-8643/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Myanmar Text"/>
        <w:b w:val="0"/>
        <w:i w:val="0"/>
        <w:color w:val="00000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