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highlight w:val="white"/>
          <w:rtl w:val="0"/>
        </w:rPr>
        <w:t xml:space="preserve">Using a SQL Query, find your API Request for the compositions you created. Add SQL Query and a shareable link to Google spreadsheet with the results from Quantico to a GitHub Document.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SQL Query used 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172b4d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172b4d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172b4d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`qtco-customer-support.prod.app_api_access_last_7_days`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172b4d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highlight w:val="white"/>
          <w:rtl w:val="0"/>
        </w:rPr>
        <w:t xml:space="preserve">account_sid</w:t>
      </w:r>
      <w:r w:rsidDel="00000000" w:rsidR="00000000" w:rsidRPr="00000000">
        <w:rPr>
          <w:rFonts w:ascii="Roboto Mono" w:cs="Roboto Mono" w:eastAsia="Roboto Mono" w:hAnsi="Roboto Mono"/>
          <w:color w:val="172b4d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'AC4d4fe06aefbac15b3ff855dcb21da103'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172b4d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highlight w:val="white"/>
          <w:rtl w:val="0"/>
        </w:rPr>
        <w:t xml:space="preserve">uri</w:t>
      </w:r>
      <w:r w:rsidDel="00000000" w:rsidR="00000000" w:rsidRPr="00000000">
        <w:rPr>
          <w:rFonts w:ascii="Roboto Mono" w:cs="Roboto Mono" w:eastAsia="Roboto Mono" w:hAnsi="Roboto Mono"/>
          <w:color w:val="172b4d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"/Compositions"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172b4d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172b4d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172b4d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desc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Roboto Mono" w:cs="Roboto Mono" w:eastAsia="Roboto Mono" w:hAnsi="Roboto Mono"/>
          <w:color w:val="172b4d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</w:rPr>
        <w:drawing>
          <wp:inline distB="114300" distT="114300" distL="114300" distR="114300">
            <wp:extent cx="5943600" cy="311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Sharable Link: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https://console.cloud.google.com/bigquery?sq=359385078535:f2d214a25f444d47ab2e41d6c9cd0c3c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nsole.cloud.google.com/bigquery?sq=359385078535:f2d214a25f444d47ab2e41d6c9cd0c3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