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COS40006 / EAT40006 – Individual Reflection Report</w:t>
      </w:r>
    </w:p>
    <w:p>
      <w:r>
        <w:t>Name: Nur E Siam</w:t>
      </w:r>
    </w:p>
    <w:p>
      <w:r>
        <w:t>Student ID: 011221068</w:t>
      </w:r>
    </w:p>
    <w:p>
      <w:r>
        <w:t>Project: Real Estate Platform – Capstone A &amp; B</w:t>
      </w:r>
    </w:p>
    <w:p>
      <w:r>
        <w:br w:type="page"/>
      </w:r>
    </w:p>
    <w:p>
      <w:pPr>
        <w:pStyle w:val="Heading1"/>
      </w:pPr>
      <w:r>
        <w:t>Acknowledgment of Country</w:t>
      </w:r>
    </w:p>
    <w:p>
      <w:r>
        <w:br/>
        <w:t>We respectfully acknowledge the Wurundjeri People of the Kulin Nation, who are the Traditional Owners of the land on which Swinburne’s Australian campus is in Melbourne’s east and outer-east, and pay our respect to their Elders past, present and emerging.</w:t>
        <w:br/>
        <w:br/>
        <w:t>We are honoured to recognise our connection to Wurundjeri Country, history, culture, and spirituality through these locations, and strive to ensure that we operate in a manner that respects and honours the Elders and Ancestors of these lands.</w:t>
        <w:br/>
        <w:br/>
        <w:t>We also respectfully acknowledge Swinburne’s Aboriginal and Torres Strait Islander staff, students, alumni, partners and visitors.</w:t>
        <w:br/>
        <w:br/>
        <w:t>We also acknowledge and respect the Traditional Owners of lands across Australia, their Elders, Ancestors, cultures and heritage, and recognise the continuing sovereignties of all Aboriginal and Torres Strait Islander Nations. Each team member identifies the Traditional Owners of the land they lived on while completing this work (if living in Australia).</w:t>
        <w:br/>
      </w:r>
    </w:p>
    <w:p>
      <w:pPr>
        <w:pStyle w:val="Heading1"/>
      </w:pPr>
      <w:r>
        <w:t>Executive Summary</w:t>
      </w:r>
    </w:p>
    <w:p>
      <w:r>
        <w:br/>
        <w:t>This report outlines my individual contributions and growth across both Engineering Project A and B. In Capstone A, I handled research, conducted a user survey, selected a suitable color scheme, designed the UI layout, and created the final product poster. In Capstone B, I transitioned into a leadership and technical role—taking charge of dual-language implementation, leading the map migration to Mapbox, enhancing UI/UX, and improving content pages. I also stepped into the role of team leader in Capstone B due to internal communication issues. This reflection summarises the work I completed, challenges I overcame, and key skills I developed.</w:t>
        <w:br/>
      </w:r>
    </w:p>
    <w:p>
      <w:pPr>
        <w:pStyle w:val="Heading1"/>
      </w:pPr>
      <w:r>
        <w:t>Reflection on Individual Achievements</w:t>
      </w:r>
    </w:p>
    <w:p>
      <w:r>
        <w:br/>
        <w:t>At the beginning of this project, I had limited experience in working with real estate platforms or running user research. That changed quickly through my involvement in Project A.</w:t>
        <w:br/>
        <w:br/>
        <w:t>I conducted a market research survey specifically targeting the Bangladeshi real estate audience. The survey ran for just over an hour, but during that short time, we were able to gather meaningful feedback from participants. The questions focused on preferred platform features, color schemes, and whether users wanted bilingual support (English and Bangla). This swift feedback significantly influenced our design approach from the very beginning (see Figures 1–5 for survey responses from both renters and owners).</w:t>
        <w:br/>
        <w:br/>
        <w:t>Based on the survey results, I designed the core UI layout, ensuring the look and feel aligned with user preferences. I also conducted color scheme research, focusing on a monochrome palette. Consequently, I chose four unique colors that most effectively matched the preferences of Bangladeshi users (see Figure 6: Monochrome Color Scheme).</w:t>
        <w:br/>
        <w:br/>
        <w:t>I also created the poster design for our project and contributed to the layout used in presentations and reports. These tasks are documented in our Sprint 1 report and my weekly worklogs.</w:t>
        <w:br/>
        <w:br/>
        <w:t>I was responsible for:</w:t>
        <w:br/>
        <w:t>• Creating and distributing the user survey</w:t>
        <w:br/>
        <w:t>• Researching and selecting the color scheme</w:t>
        <w:br/>
        <w:t>• Designing the UI layout and wireframes</w:t>
        <w:br/>
        <w:t>• Designing the final poster used for our Capstone A presentation</w:t>
        <w:br/>
        <w:br/>
        <w:t>In Capstone B, I moved into a more technical role. I:</w:t>
        <w:br/>
        <w:t>• Built the entire dual-language system from scratch using i18next</w:t>
        <w:br/>
        <w:t>• Fixed map issues and migrated from Leaflet to Mapbox for better control and visuals</w:t>
        <w:br/>
        <w:t>• Enhanced the frontend responsiveness and fixed UI inconsistencies</w:t>
        <w:br/>
        <w:t>• Contributed to the chat system integration</w:t>
        <w:br/>
        <w:t>• Improved and finalized the About Us and Contact pages</w:t>
        <w:br/>
        <w:br/>
        <w:t>All of these contributions—both technical and organizational—are supported by detailed worklogs and sprint documentation. These include my Sprint 1 and Sprint 2 reports, as well as weekly worklogs from both Capstone A and B (see Appendix or attached supporting documents). Screenshots of early wireframes and the final UI mockups are also available to demonstrate my involvement in visual and functional design decisions.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