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D26AC" w14:textId="77777777" w:rsidR="001C6C70" w:rsidRPr="001C1A83" w:rsidRDefault="00A411B4">
      <w:pPr>
        <w:jc w:val="center"/>
        <w:rPr>
          <w:rFonts w:ascii="Times New Roman" w:hAnsi="Times New Roman" w:cs="Times New Roman"/>
        </w:rPr>
      </w:pPr>
      <w:r w:rsidRPr="001C1A83">
        <w:rPr>
          <w:rFonts w:ascii="Times New Roman" w:hAnsi="Times New Roman" w:cs="Times New Roman"/>
          <w:b/>
          <w:sz w:val="44"/>
        </w:rPr>
        <w:t>Marine Benthic Habitat Data Management, QA/QC and Spatial Monitoring System</w:t>
      </w:r>
    </w:p>
    <w:p w14:paraId="38117E5C" w14:textId="77777777" w:rsidR="001C6C70" w:rsidRPr="001C1A83" w:rsidRDefault="00A411B4">
      <w:pPr>
        <w:jc w:val="center"/>
        <w:rPr>
          <w:rFonts w:ascii="Times New Roman" w:hAnsi="Times New Roman" w:cs="Times New Roman"/>
        </w:rPr>
      </w:pPr>
      <w:r w:rsidRPr="001C1A83">
        <w:rPr>
          <w:rFonts w:ascii="Times New Roman" w:hAnsi="Times New Roman" w:cs="Times New Roman"/>
          <w:sz w:val="22"/>
        </w:rPr>
        <w:t>Excel • QA/QC • Marine Survey Data • QGIS-ready Spatial Outputs • Management Reporting</w:t>
      </w:r>
    </w:p>
    <w:p w14:paraId="0F2FB082" w14:textId="2DE91212" w:rsidR="001C6C70" w:rsidRPr="001C1A83" w:rsidRDefault="00A411B4" w:rsidP="001C1A83">
      <w:pPr>
        <w:jc w:val="center"/>
        <w:rPr>
          <w:rFonts w:ascii="Times New Roman" w:hAnsi="Times New Roman" w:cs="Times New Roman"/>
        </w:rPr>
      </w:pPr>
      <w:r w:rsidRPr="001C1A83">
        <w:rPr>
          <w:rFonts w:ascii="Times New Roman" w:hAnsi="Times New Roman" w:cs="Times New Roman"/>
        </w:rPr>
        <w:t>Data</w:t>
      </w:r>
      <w:r w:rsidR="00A11C49">
        <w:rPr>
          <w:rFonts w:ascii="Times New Roman" w:hAnsi="Times New Roman" w:cs="Times New Roman"/>
        </w:rPr>
        <w:t xml:space="preserve"> source</w:t>
      </w:r>
      <w:r w:rsidRPr="001C1A83">
        <w:rPr>
          <w:rFonts w:ascii="Times New Roman" w:hAnsi="Times New Roman" w:cs="Times New Roman"/>
        </w:rPr>
        <w:t xml:space="preserve">: </w:t>
      </w:r>
      <w:r w:rsidR="00A11C49" w:rsidRPr="00A11C49">
        <w:rPr>
          <w:rFonts w:ascii="Times New Roman" w:hAnsi="Times New Roman" w:cs="Times New Roman" w:hint="eastAsia"/>
        </w:rPr>
        <w:t>https://www.kaggle.com/datasets/thedevastator/underwater-video-assessment-of-benthic-habitats</w:t>
      </w:r>
    </w:p>
    <w:p w14:paraId="2E0AD131" w14:textId="130F1907"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1. Executive Summary</w:t>
      </w:r>
    </w:p>
    <w:p w14:paraId="7008224F" w14:textId="1EC53CC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 xml:space="preserve">This project converts a 1,353-record NOAA marine benthic-habitat survey index into a documented, </w:t>
      </w:r>
      <w:r w:rsidRPr="001C1A83">
        <w:rPr>
          <w:rFonts w:ascii="Times New Roman" w:hAnsi="Times New Roman" w:cs="Times New Roman"/>
        </w:rPr>
        <w:t>data-management workflow. The project preserves the raw source, standardizes an operational master dataset, ap</w:t>
      </w:r>
      <w:r w:rsidRPr="001C1A83">
        <w:rPr>
          <w:rFonts w:ascii="Times New Roman" w:hAnsi="Times New Roman" w:cs="Times New Roman"/>
        </w:rPr>
        <w:t>plies transparent QA/QC rules, isolates records requiring human review, creates a formal issue log, prepares QGIS</w:t>
      </w:r>
      <w:r w:rsidRPr="001C1A83">
        <w:rPr>
          <w:rFonts w:ascii="Times New Roman" w:hAnsi="Times New Roman" w:cs="Times New Roman"/>
        </w:rPr>
        <w:t xml:space="preserve"> spatial outputs, and summarizes the monitoring data in Excel.</w:t>
      </w:r>
    </w:p>
    <w:p w14:paraId="031924EB" w14:textId="7777777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The QA framework classified 1,347 records as Pass and 6 as Review, with no</w:t>
      </w:r>
      <w:r w:rsidRPr="001C1A83">
        <w:rPr>
          <w:rFonts w:ascii="Times New Roman" w:hAnsi="Times New Roman" w:cs="Times New Roman"/>
        </w:rPr>
        <w:t xml:space="preserve"> Critical records under the project rules. The most important review case is site AA2017_149, which occurs twice intentionally according to the source notes. The two records also contain projected EASTING/NORTHING pairs that are inconsistent with their own</w:t>
      </w:r>
      <w:r w:rsidRPr="001C1A83">
        <w:rPr>
          <w:rFonts w:ascii="Times New Roman" w:hAnsi="Times New Roman" w:cs="Times New Roman"/>
        </w:rPr>
        <w:t xml:space="preserve"> latitude/longitude and appear cross-swapped. The project therefore retains both observations and preserves the source values rather than silently deleting or overwriting them.</w:t>
      </w:r>
    </w:p>
    <w:p w14:paraId="76A9F45B" w14:textId="77777777"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2. Dataset and Source</w:t>
      </w:r>
    </w:p>
    <w:p w14:paraId="14D908A4" w14:textId="4A288E1E"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The primary source is NOAA's National Centers for Coastal</w:t>
      </w:r>
      <w:r w:rsidRPr="001C1A83">
        <w:rPr>
          <w:rFonts w:ascii="Times New Roman" w:hAnsi="Times New Roman" w:cs="Times New Roman"/>
        </w:rPr>
        <w:t xml:space="preserve"> Ocean Science (NCCOS) dataset of underwater-video sites used for ground validation and accuracy assessment of benthic habitat maps south of St. Thomas and St. John, U.S. Virgin Islands. NOAA metadata describe 1,353 locations, with 1,005 sites used for gro</w:t>
      </w:r>
      <w:r w:rsidRPr="001C1A83">
        <w:rPr>
          <w:rFonts w:ascii="Times New Roman" w:hAnsi="Times New Roman" w:cs="Times New Roman"/>
        </w:rPr>
        <w:t xml:space="preserve">und validation and 348 sites used for accuracy assessment. </w:t>
      </w:r>
    </w:p>
    <w:tbl>
      <w:tblPr>
        <w:tblStyle w:val="TableGrid"/>
        <w:tblW w:w="0" w:type="auto"/>
        <w:jc w:val="center"/>
        <w:tblLook w:val="04A0" w:firstRow="1" w:lastRow="0" w:firstColumn="1" w:lastColumn="0" w:noHBand="0" w:noVBand="1"/>
      </w:tblPr>
      <w:tblGrid>
        <w:gridCol w:w="3743"/>
        <w:gridCol w:w="5241"/>
      </w:tblGrid>
      <w:tr w:rsidR="001C6C70" w:rsidRPr="001C1A83" w14:paraId="2E8C9157" w14:textId="77777777" w:rsidTr="00891713">
        <w:trPr>
          <w:trHeight w:val="267"/>
          <w:tblHeader/>
          <w:jc w:val="center"/>
        </w:trPr>
        <w:tc>
          <w:tcPr>
            <w:tcW w:w="3743" w:type="dxa"/>
            <w:shd w:val="clear" w:color="auto" w:fill="D9EDED"/>
            <w:vAlign w:val="center"/>
          </w:tcPr>
          <w:p w14:paraId="652D39B1"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Characteristic</w:t>
            </w:r>
          </w:p>
        </w:tc>
        <w:tc>
          <w:tcPr>
            <w:tcW w:w="5241" w:type="dxa"/>
            <w:shd w:val="clear" w:color="auto" w:fill="D9EDED"/>
            <w:vAlign w:val="center"/>
          </w:tcPr>
          <w:p w14:paraId="130B2B6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Value</w:t>
            </w:r>
          </w:p>
        </w:tc>
      </w:tr>
      <w:tr w:rsidR="001C6C70" w:rsidRPr="001C1A83" w14:paraId="68FBE9AE" w14:textId="77777777" w:rsidTr="00891713">
        <w:trPr>
          <w:trHeight w:val="267"/>
          <w:jc w:val="center"/>
        </w:trPr>
        <w:tc>
          <w:tcPr>
            <w:tcW w:w="3743" w:type="dxa"/>
          </w:tcPr>
          <w:p w14:paraId="61B093A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Records</w:t>
            </w:r>
          </w:p>
        </w:tc>
        <w:tc>
          <w:tcPr>
            <w:tcW w:w="5241" w:type="dxa"/>
          </w:tcPr>
          <w:p w14:paraId="4E1DD18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1,353</w:t>
            </w:r>
          </w:p>
        </w:tc>
      </w:tr>
      <w:tr w:rsidR="001C6C70" w:rsidRPr="001C1A83" w14:paraId="408EA385" w14:textId="77777777" w:rsidTr="00891713">
        <w:trPr>
          <w:trHeight w:val="256"/>
          <w:jc w:val="center"/>
        </w:trPr>
        <w:tc>
          <w:tcPr>
            <w:tcW w:w="3743" w:type="dxa"/>
          </w:tcPr>
          <w:p w14:paraId="2340968C"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Date range</w:t>
            </w:r>
          </w:p>
        </w:tc>
        <w:tc>
          <w:tcPr>
            <w:tcW w:w="5241" w:type="dxa"/>
          </w:tcPr>
          <w:p w14:paraId="7FDC46A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20 March 2010 to 10 February 2017</w:t>
            </w:r>
          </w:p>
        </w:tc>
      </w:tr>
      <w:tr w:rsidR="001C6C70" w:rsidRPr="001C1A83" w14:paraId="6378CF51" w14:textId="77777777" w:rsidTr="00891713">
        <w:trPr>
          <w:trHeight w:val="267"/>
          <w:jc w:val="center"/>
        </w:trPr>
        <w:tc>
          <w:tcPr>
            <w:tcW w:w="3743" w:type="dxa"/>
          </w:tcPr>
          <w:p w14:paraId="3B240A1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 xml:space="preserve">Ground </w:t>
            </w:r>
            <w:r w:rsidRPr="001C1A83">
              <w:rPr>
                <w:rFonts w:ascii="Times New Roman" w:hAnsi="Times New Roman" w:cs="Times New Roman"/>
              </w:rPr>
              <w:t>Validation (GV)</w:t>
            </w:r>
          </w:p>
        </w:tc>
        <w:tc>
          <w:tcPr>
            <w:tcW w:w="5241" w:type="dxa"/>
          </w:tcPr>
          <w:p w14:paraId="70A4205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1,005</w:t>
            </w:r>
          </w:p>
        </w:tc>
      </w:tr>
      <w:tr w:rsidR="001C6C70" w:rsidRPr="001C1A83" w14:paraId="5AD91F44" w14:textId="77777777" w:rsidTr="00891713">
        <w:trPr>
          <w:trHeight w:val="267"/>
          <w:jc w:val="center"/>
        </w:trPr>
        <w:tc>
          <w:tcPr>
            <w:tcW w:w="3743" w:type="dxa"/>
          </w:tcPr>
          <w:p w14:paraId="2CB63510"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Accuracy Assessment (AA)</w:t>
            </w:r>
          </w:p>
        </w:tc>
        <w:tc>
          <w:tcPr>
            <w:tcW w:w="5241" w:type="dxa"/>
          </w:tcPr>
          <w:p w14:paraId="651E6A19"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348</w:t>
            </w:r>
          </w:p>
        </w:tc>
      </w:tr>
      <w:tr w:rsidR="001C6C70" w:rsidRPr="001C1A83" w14:paraId="39414DF8" w14:textId="77777777" w:rsidTr="00891713">
        <w:trPr>
          <w:trHeight w:val="267"/>
          <w:jc w:val="center"/>
        </w:trPr>
        <w:tc>
          <w:tcPr>
            <w:tcW w:w="3743" w:type="dxa"/>
          </w:tcPr>
          <w:p w14:paraId="569159E7"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Puerto Rico records</w:t>
            </w:r>
          </w:p>
        </w:tc>
        <w:tc>
          <w:tcPr>
            <w:tcW w:w="5241" w:type="dxa"/>
          </w:tcPr>
          <w:p w14:paraId="2132E9D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293</w:t>
            </w:r>
          </w:p>
        </w:tc>
      </w:tr>
      <w:tr w:rsidR="001C6C70" w:rsidRPr="001C1A83" w14:paraId="6035F240" w14:textId="77777777" w:rsidTr="00891713">
        <w:trPr>
          <w:trHeight w:val="267"/>
          <w:jc w:val="center"/>
        </w:trPr>
        <w:tc>
          <w:tcPr>
            <w:tcW w:w="3743" w:type="dxa"/>
          </w:tcPr>
          <w:p w14:paraId="195908C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St. Thomas, USVI records</w:t>
            </w:r>
          </w:p>
        </w:tc>
        <w:tc>
          <w:tcPr>
            <w:tcW w:w="5241" w:type="dxa"/>
          </w:tcPr>
          <w:p w14:paraId="07B25A11"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691</w:t>
            </w:r>
          </w:p>
        </w:tc>
      </w:tr>
      <w:tr w:rsidR="001C6C70" w:rsidRPr="001C1A83" w14:paraId="770CED7B" w14:textId="77777777" w:rsidTr="00891713">
        <w:trPr>
          <w:trHeight w:val="256"/>
          <w:jc w:val="center"/>
        </w:trPr>
        <w:tc>
          <w:tcPr>
            <w:tcW w:w="3743" w:type="dxa"/>
          </w:tcPr>
          <w:p w14:paraId="109B644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St. John, USVI records</w:t>
            </w:r>
          </w:p>
        </w:tc>
        <w:tc>
          <w:tcPr>
            <w:tcW w:w="5241" w:type="dxa"/>
          </w:tcPr>
          <w:p w14:paraId="3463E31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369</w:t>
            </w:r>
          </w:p>
        </w:tc>
      </w:tr>
      <w:tr w:rsidR="001C6C70" w:rsidRPr="001C1A83" w14:paraId="5DDB32A9" w14:textId="77777777" w:rsidTr="00891713">
        <w:trPr>
          <w:trHeight w:val="267"/>
          <w:jc w:val="center"/>
        </w:trPr>
        <w:tc>
          <w:tcPr>
            <w:tcW w:w="3743" w:type="dxa"/>
          </w:tcPr>
          <w:p w14:paraId="45FF83FD"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Mean depth magnitude</w:t>
            </w:r>
          </w:p>
        </w:tc>
        <w:tc>
          <w:tcPr>
            <w:tcW w:w="5241" w:type="dxa"/>
          </w:tcPr>
          <w:p w14:paraId="767767E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40.73 m</w:t>
            </w:r>
          </w:p>
        </w:tc>
      </w:tr>
      <w:tr w:rsidR="001C6C70" w:rsidRPr="001C1A83" w14:paraId="00698A2D" w14:textId="77777777" w:rsidTr="00891713">
        <w:trPr>
          <w:trHeight w:val="256"/>
          <w:jc w:val="center"/>
        </w:trPr>
        <w:tc>
          <w:tcPr>
            <w:tcW w:w="3743" w:type="dxa"/>
          </w:tcPr>
          <w:p w14:paraId="3D335A8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Depth range</w:t>
            </w:r>
          </w:p>
        </w:tc>
        <w:tc>
          <w:tcPr>
            <w:tcW w:w="5241" w:type="dxa"/>
          </w:tcPr>
          <w:p w14:paraId="7624E4C7"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21.32-74.25 m</w:t>
            </w:r>
          </w:p>
        </w:tc>
      </w:tr>
    </w:tbl>
    <w:p w14:paraId="6BE698C4" w14:textId="77777777"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lastRenderedPageBreak/>
        <w:t>3. Data-Management Architecture</w:t>
      </w:r>
    </w:p>
    <w:p w14:paraId="087F8ECB" w14:textId="7777777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 xml:space="preserve">The project follows a </w:t>
      </w:r>
      <w:r w:rsidRPr="001C1A83">
        <w:rPr>
          <w:rFonts w:ascii="Times New Roman" w:hAnsi="Times New Roman" w:cs="Times New Roman"/>
        </w:rPr>
        <w:t>non-destructive pipeline: Raw source -&gt; Standardized master -&gt; Automated QA flags -&gt; Human review queue -&gt; Issue log -&gt; Excel summary/dashboard -&gt; QGIS-ready outputs -&gt; Management reporting. Raw values are retained so that every transformation can be trace</w:t>
      </w:r>
      <w:r w:rsidRPr="001C1A83">
        <w:rPr>
          <w:rFonts w:ascii="Times New Roman" w:hAnsi="Times New Roman" w:cs="Times New Roman"/>
        </w:rPr>
        <w:t>d.</w:t>
      </w:r>
    </w:p>
    <w:p w14:paraId="2095BFB7" w14:textId="7777777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The cleaned master standardizes date format, strips whitespace from notes, stores habitat presence indicators as both source categories and binary variables, creates positive depth magnitudes for reporting while preserving original negative source depth</w:t>
      </w:r>
      <w:r w:rsidRPr="001C1A83">
        <w:rPr>
          <w:rFonts w:ascii="Times New Roman" w:hAnsi="Times New Roman" w:cs="Times New Roman"/>
        </w:rPr>
        <w:t xml:space="preserve"> values, and adds derived spatial QA variables.</w:t>
      </w:r>
    </w:p>
    <w:p w14:paraId="2BE88B46" w14:textId="77777777"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4. QA/QC Framework</w:t>
      </w:r>
    </w:p>
    <w:tbl>
      <w:tblPr>
        <w:tblStyle w:val="TableGrid"/>
        <w:tblW w:w="0" w:type="auto"/>
        <w:jc w:val="center"/>
        <w:tblLook w:val="04A0" w:firstRow="1" w:lastRow="0" w:firstColumn="1" w:lastColumn="0" w:noHBand="0" w:noVBand="1"/>
      </w:tblPr>
      <w:tblGrid>
        <w:gridCol w:w="2369"/>
        <w:gridCol w:w="5869"/>
        <w:gridCol w:w="1338"/>
      </w:tblGrid>
      <w:tr w:rsidR="001C6C70" w:rsidRPr="001C1A83" w14:paraId="36B52DAD" w14:textId="77777777">
        <w:trPr>
          <w:tblHeader/>
          <w:jc w:val="center"/>
        </w:trPr>
        <w:tc>
          <w:tcPr>
            <w:tcW w:w="2592" w:type="dxa"/>
            <w:shd w:val="clear" w:color="auto" w:fill="D9EDED"/>
            <w:vAlign w:val="center"/>
          </w:tcPr>
          <w:p w14:paraId="1333D45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QA rule</w:t>
            </w:r>
          </w:p>
        </w:tc>
        <w:tc>
          <w:tcPr>
            <w:tcW w:w="6624" w:type="dxa"/>
            <w:shd w:val="clear" w:color="auto" w:fill="D9EDED"/>
            <w:vAlign w:val="center"/>
          </w:tcPr>
          <w:p w14:paraId="46652A1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Logic</w:t>
            </w:r>
          </w:p>
        </w:tc>
        <w:tc>
          <w:tcPr>
            <w:tcW w:w="1440" w:type="dxa"/>
            <w:shd w:val="clear" w:color="auto" w:fill="D9EDED"/>
            <w:vAlign w:val="center"/>
          </w:tcPr>
          <w:p w14:paraId="320CF8E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Action</w:t>
            </w:r>
          </w:p>
        </w:tc>
      </w:tr>
      <w:tr w:rsidR="001C6C70" w:rsidRPr="001C1A83" w14:paraId="7C387C10" w14:textId="77777777">
        <w:trPr>
          <w:jc w:val="center"/>
        </w:trPr>
        <w:tc>
          <w:tcPr>
            <w:tcW w:w="2592" w:type="dxa"/>
          </w:tcPr>
          <w:p w14:paraId="5FA6206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Required fields</w:t>
            </w:r>
          </w:p>
        </w:tc>
        <w:tc>
          <w:tcPr>
            <w:tcW w:w="6624" w:type="dxa"/>
          </w:tcPr>
          <w:p w14:paraId="0337335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Identifier, survey, coordinates, depth and video URL must be present.</w:t>
            </w:r>
          </w:p>
        </w:tc>
        <w:tc>
          <w:tcPr>
            <w:tcW w:w="1440" w:type="dxa"/>
          </w:tcPr>
          <w:p w14:paraId="77B880F7"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Critical</w:t>
            </w:r>
          </w:p>
        </w:tc>
      </w:tr>
      <w:tr w:rsidR="001C6C70" w:rsidRPr="001C1A83" w14:paraId="530BC06B" w14:textId="77777777">
        <w:trPr>
          <w:jc w:val="center"/>
        </w:trPr>
        <w:tc>
          <w:tcPr>
            <w:tcW w:w="2592" w:type="dxa"/>
          </w:tcPr>
          <w:p w14:paraId="1DFC7E2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Coordinate range</w:t>
            </w:r>
          </w:p>
        </w:tc>
        <w:tc>
          <w:tcPr>
            <w:tcW w:w="6624" w:type="dxa"/>
          </w:tcPr>
          <w:p w14:paraId="7A80803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Latitude must be -90 to 90; longitude -180 to 180.</w:t>
            </w:r>
          </w:p>
        </w:tc>
        <w:tc>
          <w:tcPr>
            <w:tcW w:w="1440" w:type="dxa"/>
          </w:tcPr>
          <w:p w14:paraId="2EC4E82D"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Critical</w:t>
            </w:r>
          </w:p>
        </w:tc>
      </w:tr>
      <w:tr w:rsidR="001C6C70" w:rsidRPr="001C1A83" w14:paraId="57D4F16E" w14:textId="77777777">
        <w:trPr>
          <w:jc w:val="center"/>
        </w:trPr>
        <w:tc>
          <w:tcPr>
            <w:tcW w:w="2592" w:type="dxa"/>
          </w:tcPr>
          <w:p w14:paraId="04E199F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Category domain</w:t>
            </w:r>
          </w:p>
        </w:tc>
        <w:tc>
          <w:tcPr>
            <w:tcW w:w="6624" w:type="dxa"/>
          </w:tcPr>
          <w:p w14:paraId="5DDBA0EB"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Habitat fields must contain only Present/Absent.</w:t>
            </w:r>
          </w:p>
        </w:tc>
        <w:tc>
          <w:tcPr>
            <w:tcW w:w="1440" w:type="dxa"/>
          </w:tcPr>
          <w:p w14:paraId="4DB94690"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Critical</w:t>
            </w:r>
          </w:p>
        </w:tc>
      </w:tr>
      <w:tr w:rsidR="001C6C70" w:rsidRPr="001C1A83" w14:paraId="147EA856" w14:textId="77777777">
        <w:trPr>
          <w:jc w:val="center"/>
        </w:trPr>
        <w:tc>
          <w:tcPr>
            <w:tcW w:w="2592" w:type="dxa"/>
          </w:tcPr>
          <w:p w14:paraId="1F3EF11D"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Video URL format</w:t>
            </w:r>
          </w:p>
        </w:tc>
        <w:tc>
          <w:tcPr>
            <w:tcW w:w="6624" w:type="dxa"/>
          </w:tcPr>
          <w:p w14:paraId="4CB4AB71"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Source URL should be HTTPS and point to an MP4.</w:t>
            </w:r>
          </w:p>
        </w:tc>
        <w:tc>
          <w:tcPr>
            <w:tcW w:w="1440" w:type="dxa"/>
          </w:tcPr>
          <w:p w14:paraId="4A21F9F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Critical</w:t>
            </w:r>
          </w:p>
        </w:tc>
      </w:tr>
      <w:tr w:rsidR="001C6C70" w:rsidRPr="001C1A83" w14:paraId="0E480F8A" w14:textId="77777777">
        <w:trPr>
          <w:jc w:val="center"/>
        </w:trPr>
        <w:tc>
          <w:tcPr>
            <w:tcW w:w="2592" w:type="dxa"/>
          </w:tcPr>
          <w:p w14:paraId="5A0CA28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Duplicate site ID</w:t>
            </w:r>
          </w:p>
        </w:tc>
        <w:tc>
          <w:tcPr>
            <w:tcW w:w="6624" w:type="dxa"/>
          </w:tcPr>
          <w:p w14:paraId="31C463EC"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Repeated site identifiers require review, not automatic deletion.</w:t>
            </w:r>
          </w:p>
        </w:tc>
        <w:tc>
          <w:tcPr>
            <w:tcW w:w="1440" w:type="dxa"/>
          </w:tcPr>
          <w:p w14:paraId="563A1BC4"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Review</w:t>
            </w:r>
          </w:p>
        </w:tc>
      </w:tr>
      <w:tr w:rsidR="001C6C70" w:rsidRPr="001C1A83" w14:paraId="6A164D72" w14:textId="77777777">
        <w:trPr>
          <w:jc w:val="center"/>
        </w:trPr>
        <w:tc>
          <w:tcPr>
            <w:tcW w:w="2592" w:type="dxa"/>
          </w:tcPr>
          <w:p w14:paraId="7D88D2BB"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Index/FID consistency</w:t>
            </w:r>
          </w:p>
        </w:tc>
        <w:tc>
          <w:tcPr>
            <w:tcW w:w="6624" w:type="dxa"/>
          </w:tcPr>
          <w:p w14:paraId="0509599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Source index and FID disagreement is flagged.</w:t>
            </w:r>
          </w:p>
        </w:tc>
        <w:tc>
          <w:tcPr>
            <w:tcW w:w="1440" w:type="dxa"/>
          </w:tcPr>
          <w:p w14:paraId="52BE502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Review</w:t>
            </w:r>
          </w:p>
        </w:tc>
      </w:tr>
      <w:tr w:rsidR="001C6C70" w:rsidRPr="001C1A83" w14:paraId="1DA9E1C6" w14:textId="77777777">
        <w:trPr>
          <w:jc w:val="center"/>
        </w:trPr>
        <w:tc>
          <w:tcPr>
            <w:tcW w:w="2592" w:type="dxa"/>
          </w:tcPr>
          <w:p w14:paraId="74A607B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Projected-coordinate consistency</w:t>
            </w:r>
          </w:p>
        </w:tc>
        <w:tc>
          <w:tcPr>
            <w:tcW w:w="6624" w:type="dxa"/>
          </w:tcPr>
          <w:p w14:paraId="208320F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Recomputed EPSG:3857 coordinates compared with source EASTING/NORTHING; &gt;5 m difference flagged.</w:t>
            </w:r>
          </w:p>
        </w:tc>
        <w:tc>
          <w:tcPr>
            <w:tcW w:w="1440" w:type="dxa"/>
          </w:tcPr>
          <w:p w14:paraId="61949F2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Review</w:t>
            </w:r>
          </w:p>
        </w:tc>
      </w:tr>
      <w:tr w:rsidR="001C6C70" w:rsidRPr="001C1A83" w14:paraId="5E3C8341" w14:textId="77777777">
        <w:trPr>
          <w:jc w:val="center"/>
        </w:trPr>
        <w:tc>
          <w:tcPr>
            <w:tcW w:w="2592" w:type="dxa"/>
          </w:tcPr>
          <w:p w14:paraId="19473D87"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UNKNOWN class</w:t>
            </w:r>
          </w:p>
        </w:tc>
        <w:tc>
          <w:tcPr>
            <w:tcW w:w="6624" w:type="dxa"/>
          </w:tcPr>
          <w:p w14:paraId="5D101A4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UNKNOWN=Present requires source/expert review.</w:t>
            </w:r>
          </w:p>
        </w:tc>
        <w:tc>
          <w:tcPr>
            <w:tcW w:w="1440" w:type="dxa"/>
          </w:tcPr>
          <w:p w14:paraId="4DCD7634"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Review</w:t>
            </w:r>
          </w:p>
        </w:tc>
      </w:tr>
      <w:tr w:rsidR="001C6C70" w:rsidRPr="001C1A83" w14:paraId="539A29F3" w14:textId="77777777">
        <w:trPr>
          <w:jc w:val="center"/>
        </w:trPr>
        <w:tc>
          <w:tcPr>
            <w:tcW w:w="2592" w:type="dxa"/>
          </w:tcPr>
          <w:p w14:paraId="528430B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No core substrate</w:t>
            </w:r>
          </w:p>
        </w:tc>
        <w:tc>
          <w:tcPr>
            <w:tcW w:w="6624" w:type="dxa"/>
          </w:tcPr>
          <w:p w14:paraId="344D25E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No Present value across Coral Reef, Pavement, Rhodolith and Sand is flagged.</w:t>
            </w:r>
          </w:p>
        </w:tc>
        <w:tc>
          <w:tcPr>
            <w:tcW w:w="1440" w:type="dxa"/>
          </w:tcPr>
          <w:p w14:paraId="0EB512AD"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Review</w:t>
            </w:r>
          </w:p>
        </w:tc>
      </w:tr>
      <w:tr w:rsidR="001C6C70" w:rsidRPr="001C1A83" w14:paraId="02F40C9E" w14:textId="77777777">
        <w:trPr>
          <w:jc w:val="center"/>
        </w:trPr>
        <w:tc>
          <w:tcPr>
            <w:tcW w:w="2592" w:type="dxa"/>
          </w:tcPr>
          <w:p w14:paraId="5C48247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Video usability note</w:t>
            </w:r>
          </w:p>
        </w:tc>
        <w:tc>
          <w:tcPr>
            <w:tcW w:w="6624" w:type="dxa"/>
          </w:tcPr>
          <w:p w14:paraId="56ABFD9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Notes indicating no video or camera did not reach bottom are flagged.</w:t>
            </w:r>
          </w:p>
        </w:tc>
        <w:tc>
          <w:tcPr>
            <w:tcW w:w="1440" w:type="dxa"/>
          </w:tcPr>
          <w:p w14:paraId="1F2C563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Review</w:t>
            </w:r>
          </w:p>
        </w:tc>
      </w:tr>
    </w:tbl>
    <w:p w14:paraId="6794C94F" w14:textId="77777777"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5. Review Records and Key Anomalies</w:t>
      </w:r>
    </w:p>
    <w:tbl>
      <w:tblPr>
        <w:tblStyle w:val="TableGrid"/>
        <w:tblW w:w="0" w:type="auto"/>
        <w:jc w:val="center"/>
        <w:tblLook w:val="04A0" w:firstRow="1" w:lastRow="0" w:firstColumn="1" w:lastColumn="0" w:noHBand="0" w:noVBand="1"/>
      </w:tblPr>
      <w:tblGrid>
        <w:gridCol w:w="1958"/>
        <w:gridCol w:w="4703"/>
        <w:gridCol w:w="2915"/>
      </w:tblGrid>
      <w:tr w:rsidR="001C6C70" w:rsidRPr="001C1A83" w14:paraId="1F7D4543" w14:textId="77777777" w:rsidTr="00A11C49">
        <w:trPr>
          <w:trHeight w:val="294"/>
          <w:tblHeader/>
          <w:jc w:val="center"/>
        </w:trPr>
        <w:tc>
          <w:tcPr>
            <w:tcW w:w="1981" w:type="dxa"/>
            <w:shd w:val="clear" w:color="auto" w:fill="D9EDED"/>
            <w:vAlign w:val="center"/>
          </w:tcPr>
          <w:p w14:paraId="51FBD99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Record</w:t>
            </w:r>
          </w:p>
        </w:tc>
        <w:tc>
          <w:tcPr>
            <w:tcW w:w="4830" w:type="dxa"/>
            <w:shd w:val="clear" w:color="auto" w:fill="D9EDED"/>
            <w:vAlign w:val="center"/>
          </w:tcPr>
          <w:p w14:paraId="45D6F99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Reason for review</w:t>
            </w:r>
          </w:p>
        </w:tc>
        <w:tc>
          <w:tcPr>
            <w:tcW w:w="2973" w:type="dxa"/>
            <w:shd w:val="clear" w:color="auto" w:fill="D9EDED"/>
            <w:vAlign w:val="center"/>
          </w:tcPr>
          <w:p w14:paraId="633265EE"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Data-management action</w:t>
            </w:r>
          </w:p>
        </w:tc>
      </w:tr>
      <w:tr w:rsidR="001C6C70" w:rsidRPr="001C1A83" w14:paraId="41F1FF28" w14:textId="77777777" w:rsidTr="00A11C49">
        <w:trPr>
          <w:trHeight w:val="883"/>
          <w:jc w:val="center"/>
        </w:trPr>
        <w:tc>
          <w:tcPr>
            <w:tcW w:w="1981" w:type="dxa"/>
          </w:tcPr>
          <w:p w14:paraId="23D6E11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AA2017_149 (two rows)</w:t>
            </w:r>
          </w:p>
        </w:tc>
        <w:tc>
          <w:tcPr>
            <w:tcW w:w="4830" w:type="dxa"/>
          </w:tcPr>
          <w:p w14:paraId="05865A0C"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Intentional duplicate; index/FID mismatch; projected coordinates inconsistent with lat/lon.</w:t>
            </w:r>
          </w:p>
        </w:tc>
        <w:tc>
          <w:tcPr>
            <w:tcW w:w="2973" w:type="dxa"/>
          </w:tcPr>
          <w:p w14:paraId="0E39294C"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 xml:space="preserve">Retain both; verify projected coordinates before </w:t>
            </w:r>
            <w:r w:rsidRPr="001C1A83">
              <w:rPr>
                <w:rFonts w:ascii="Times New Roman" w:hAnsi="Times New Roman" w:cs="Times New Roman"/>
              </w:rPr>
              <w:t>operational correction.</w:t>
            </w:r>
          </w:p>
        </w:tc>
      </w:tr>
      <w:tr w:rsidR="001C6C70" w:rsidRPr="001C1A83" w14:paraId="00D8349C" w14:textId="77777777" w:rsidTr="00A11C49">
        <w:trPr>
          <w:trHeight w:val="588"/>
          <w:jc w:val="center"/>
        </w:trPr>
        <w:tc>
          <w:tcPr>
            <w:tcW w:w="1981" w:type="dxa"/>
          </w:tcPr>
          <w:p w14:paraId="7BD6845C"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GV2011_265</w:t>
            </w:r>
          </w:p>
        </w:tc>
        <w:tc>
          <w:tcPr>
            <w:tcW w:w="4830" w:type="dxa"/>
          </w:tcPr>
          <w:p w14:paraId="6FA0ADA9"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UNKNOWN present; no core substrate; camera never reached bottom.</w:t>
            </w:r>
          </w:p>
        </w:tc>
        <w:tc>
          <w:tcPr>
            <w:tcW w:w="2973" w:type="dxa"/>
          </w:tcPr>
          <w:p w14:paraId="0233307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Retain and request expert/source review.</w:t>
            </w:r>
          </w:p>
        </w:tc>
      </w:tr>
      <w:tr w:rsidR="001C6C70" w:rsidRPr="001C1A83" w14:paraId="15B490D5" w14:textId="77777777" w:rsidTr="00A11C49">
        <w:trPr>
          <w:trHeight w:val="588"/>
          <w:jc w:val="center"/>
        </w:trPr>
        <w:tc>
          <w:tcPr>
            <w:tcW w:w="1981" w:type="dxa"/>
          </w:tcPr>
          <w:p w14:paraId="0166E83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lastRenderedPageBreak/>
              <w:t>GV2011_273</w:t>
            </w:r>
          </w:p>
        </w:tc>
        <w:tc>
          <w:tcPr>
            <w:tcW w:w="4830" w:type="dxa"/>
          </w:tcPr>
          <w:p w14:paraId="63E66E0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UNKNOWN present; no core substrate; no underwater video.</w:t>
            </w:r>
          </w:p>
        </w:tc>
        <w:tc>
          <w:tcPr>
            <w:tcW w:w="2973" w:type="dxa"/>
          </w:tcPr>
          <w:p w14:paraId="1A1794C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Retain and request source review.</w:t>
            </w:r>
          </w:p>
        </w:tc>
      </w:tr>
      <w:tr w:rsidR="001C6C70" w:rsidRPr="001C1A83" w14:paraId="11FA0133" w14:textId="77777777" w:rsidTr="00A11C49">
        <w:trPr>
          <w:trHeight w:val="588"/>
          <w:jc w:val="center"/>
        </w:trPr>
        <w:tc>
          <w:tcPr>
            <w:tcW w:w="1981" w:type="dxa"/>
          </w:tcPr>
          <w:p w14:paraId="4B2507BB"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GV2011_308</w:t>
            </w:r>
          </w:p>
        </w:tc>
        <w:tc>
          <w:tcPr>
            <w:tcW w:w="4830" w:type="dxa"/>
          </w:tcPr>
          <w:p w14:paraId="66A66E4B"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No core substrate; source note says two sites were combined into one video.</w:t>
            </w:r>
          </w:p>
        </w:tc>
        <w:tc>
          <w:tcPr>
            <w:tcW w:w="2973" w:type="dxa"/>
          </w:tcPr>
          <w:p w14:paraId="19E21987"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Retain; review source context.</w:t>
            </w:r>
          </w:p>
        </w:tc>
      </w:tr>
      <w:tr w:rsidR="001C6C70" w:rsidRPr="001C1A83" w14:paraId="42819CD7" w14:textId="77777777" w:rsidTr="00A11C49">
        <w:trPr>
          <w:trHeight w:val="57"/>
          <w:jc w:val="center"/>
        </w:trPr>
        <w:tc>
          <w:tcPr>
            <w:tcW w:w="1981" w:type="dxa"/>
          </w:tcPr>
          <w:p w14:paraId="3F0CBAF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GV2016_303</w:t>
            </w:r>
          </w:p>
        </w:tc>
        <w:tc>
          <w:tcPr>
            <w:tcW w:w="4830" w:type="dxa"/>
          </w:tcPr>
          <w:p w14:paraId="666EAEB0"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UNKNOWN present.</w:t>
            </w:r>
          </w:p>
        </w:tc>
        <w:tc>
          <w:tcPr>
            <w:tcW w:w="2973" w:type="dxa"/>
          </w:tcPr>
          <w:p w14:paraId="3F307EEA" w14:textId="15750419"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 xml:space="preserve">Retain; review linked </w:t>
            </w:r>
          </w:p>
        </w:tc>
      </w:tr>
    </w:tbl>
    <w:p w14:paraId="35DFC85C" w14:textId="77777777" w:rsidR="00891713" w:rsidRDefault="00891713" w:rsidP="00A11C49">
      <w:pPr>
        <w:spacing w:line="360" w:lineRule="auto"/>
        <w:rPr>
          <w:rFonts w:ascii="Times New Roman" w:hAnsi="Times New Roman" w:cs="Times New Roman"/>
        </w:rPr>
      </w:pPr>
    </w:p>
    <w:p w14:paraId="016AC90A" w14:textId="7D2CAC6D"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 xml:space="preserve">A key methodological point is that QA flags are not treated as </w:t>
      </w:r>
      <w:r w:rsidRPr="001C1A83">
        <w:rPr>
          <w:rFonts w:ascii="Times New Roman" w:hAnsi="Times New Roman" w:cs="Times New Roman"/>
        </w:rPr>
        <w:t>automatic corrections. The duplicate site demonstrates why: a simplistic duplicate-removal rule would have deleted a source-documented habitat transition.</w:t>
      </w:r>
    </w:p>
    <w:p w14:paraId="78AF2B71" w14:textId="2F70D883" w:rsidR="001C6C70"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6. Descriptive Monitoring Results</w:t>
      </w:r>
    </w:p>
    <w:p w14:paraId="172EE5A5" w14:textId="77777777" w:rsidR="00891713" w:rsidRPr="00891713" w:rsidRDefault="00891713" w:rsidP="00891713"/>
    <w:tbl>
      <w:tblPr>
        <w:tblStyle w:val="TableGrid"/>
        <w:tblW w:w="0" w:type="auto"/>
        <w:jc w:val="center"/>
        <w:tblLook w:val="04A0" w:firstRow="1" w:lastRow="0" w:firstColumn="1" w:lastColumn="0" w:noHBand="0" w:noVBand="1"/>
      </w:tblPr>
      <w:tblGrid>
        <w:gridCol w:w="3600"/>
        <w:gridCol w:w="1728"/>
        <w:gridCol w:w="1728"/>
      </w:tblGrid>
      <w:tr w:rsidR="001C6C70" w:rsidRPr="001C1A83" w14:paraId="3CEB311F" w14:textId="77777777">
        <w:trPr>
          <w:tblHeader/>
          <w:jc w:val="center"/>
        </w:trPr>
        <w:tc>
          <w:tcPr>
            <w:tcW w:w="3600" w:type="dxa"/>
            <w:shd w:val="clear" w:color="auto" w:fill="D9EDED"/>
            <w:vAlign w:val="center"/>
          </w:tcPr>
          <w:p w14:paraId="732291B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Benthic feature</w:t>
            </w:r>
          </w:p>
        </w:tc>
        <w:tc>
          <w:tcPr>
            <w:tcW w:w="1728" w:type="dxa"/>
            <w:shd w:val="clear" w:color="auto" w:fill="D9EDED"/>
            <w:vAlign w:val="center"/>
          </w:tcPr>
          <w:p w14:paraId="103C6AF4"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Present N</w:t>
            </w:r>
          </w:p>
        </w:tc>
        <w:tc>
          <w:tcPr>
            <w:tcW w:w="1728" w:type="dxa"/>
            <w:shd w:val="clear" w:color="auto" w:fill="D9EDED"/>
            <w:vAlign w:val="center"/>
          </w:tcPr>
          <w:p w14:paraId="78DFCDE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b/>
              </w:rPr>
              <w:t>Presence</w:t>
            </w:r>
          </w:p>
        </w:tc>
      </w:tr>
      <w:tr w:rsidR="001C6C70" w:rsidRPr="001C1A83" w14:paraId="508C3574" w14:textId="77777777">
        <w:trPr>
          <w:jc w:val="center"/>
        </w:trPr>
        <w:tc>
          <w:tcPr>
            <w:tcW w:w="3600" w:type="dxa"/>
          </w:tcPr>
          <w:p w14:paraId="25C8453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Coral reef</w:t>
            </w:r>
          </w:p>
        </w:tc>
        <w:tc>
          <w:tcPr>
            <w:tcW w:w="1728" w:type="dxa"/>
          </w:tcPr>
          <w:p w14:paraId="0F13DF0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461</w:t>
            </w:r>
          </w:p>
        </w:tc>
        <w:tc>
          <w:tcPr>
            <w:tcW w:w="1728" w:type="dxa"/>
          </w:tcPr>
          <w:p w14:paraId="085F715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34.1%</w:t>
            </w:r>
          </w:p>
        </w:tc>
      </w:tr>
      <w:tr w:rsidR="001C6C70" w:rsidRPr="001C1A83" w14:paraId="00384C9E" w14:textId="77777777">
        <w:trPr>
          <w:jc w:val="center"/>
        </w:trPr>
        <w:tc>
          <w:tcPr>
            <w:tcW w:w="3600" w:type="dxa"/>
          </w:tcPr>
          <w:p w14:paraId="2DEB7FF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Pavement</w:t>
            </w:r>
          </w:p>
        </w:tc>
        <w:tc>
          <w:tcPr>
            <w:tcW w:w="1728" w:type="dxa"/>
          </w:tcPr>
          <w:p w14:paraId="3E9975AF"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216</w:t>
            </w:r>
          </w:p>
        </w:tc>
        <w:tc>
          <w:tcPr>
            <w:tcW w:w="1728" w:type="dxa"/>
          </w:tcPr>
          <w:p w14:paraId="20448894"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16.0%</w:t>
            </w:r>
          </w:p>
        </w:tc>
      </w:tr>
      <w:tr w:rsidR="001C6C70" w:rsidRPr="001C1A83" w14:paraId="36ED7314" w14:textId="77777777">
        <w:trPr>
          <w:jc w:val="center"/>
        </w:trPr>
        <w:tc>
          <w:tcPr>
            <w:tcW w:w="3600" w:type="dxa"/>
          </w:tcPr>
          <w:p w14:paraId="0ADFFB61"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Rhodolith</w:t>
            </w:r>
          </w:p>
        </w:tc>
        <w:tc>
          <w:tcPr>
            <w:tcW w:w="1728" w:type="dxa"/>
          </w:tcPr>
          <w:p w14:paraId="4DBB71A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751</w:t>
            </w:r>
          </w:p>
        </w:tc>
        <w:tc>
          <w:tcPr>
            <w:tcW w:w="1728" w:type="dxa"/>
          </w:tcPr>
          <w:p w14:paraId="2B034150"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55.5%</w:t>
            </w:r>
          </w:p>
        </w:tc>
      </w:tr>
      <w:tr w:rsidR="001C6C70" w:rsidRPr="001C1A83" w14:paraId="51489E3A" w14:textId="77777777">
        <w:trPr>
          <w:jc w:val="center"/>
        </w:trPr>
        <w:tc>
          <w:tcPr>
            <w:tcW w:w="3600" w:type="dxa"/>
          </w:tcPr>
          <w:p w14:paraId="4E64980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Sand</w:t>
            </w:r>
          </w:p>
        </w:tc>
        <w:tc>
          <w:tcPr>
            <w:tcW w:w="1728" w:type="dxa"/>
          </w:tcPr>
          <w:p w14:paraId="04288B74"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555</w:t>
            </w:r>
          </w:p>
        </w:tc>
        <w:tc>
          <w:tcPr>
            <w:tcW w:w="1728" w:type="dxa"/>
          </w:tcPr>
          <w:p w14:paraId="227A84E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41.0%</w:t>
            </w:r>
          </w:p>
        </w:tc>
      </w:tr>
      <w:tr w:rsidR="001C6C70" w:rsidRPr="001C1A83" w14:paraId="0B7CB101" w14:textId="77777777">
        <w:trPr>
          <w:jc w:val="center"/>
        </w:trPr>
        <w:tc>
          <w:tcPr>
            <w:tcW w:w="3600" w:type="dxa"/>
          </w:tcPr>
          <w:p w14:paraId="69EB05E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Hard coral</w:t>
            </w:r>
          </w:p>
        </w:tc>
        <w:tc>
          <w:tcPr>
            <w:tcW w:w="1728" w:type="dxa"/>
          </w:tcPr>
          <w:p w14:paraId="784DC81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688</w:t>
            </w:r>
          </w:p>
        </w:tc>
        <w:tc>
          <w:tcPr>
            <w:tcW w:w="1728" w:type="dxa"/>
          </w:tcPr>
          <w:p w14:paraId="5B028A3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50.8%</w:t>
            </w:r>
          </w:p>
        </w:tc>
      </w:tr>
      <w:tr w:rsidR="001C6C70" w:rsidRPr="001C1A83" w14:paraId="6FD3D181" w14:textId="77777777">
        <w:trPr>
          <w:jc w:val="center"/>
        </w:trPr>
        <w:tc>
          <w:tcPr>
            <w:tcW w:w="3600" w:type="dxa"/>
          </w:tcPr>
          <w:p w14:paraId="499F2B1C"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Soft coral</w:t>
            </w:r>
          </w:p>
        </w:tc>
        <w:tc>
          <w:tcPr>
            <w:tcW w:w="1728" w:type="dxa"/>
          </w:tcPr>
          <w:p w14:paraId="7A45B067"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220</w:t>
            </w:r>
          </w:p>
        </w:tc>
        <w:tc>
          <w:tcPr>
            <w:tcW w:w="1728" w:type="dxa"/>
          </w:tcPr>
          <w:p w14:paraId="5E8D5A73"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16.3%</w:t>
            </w:r>
          </w:p>
        </w:tc>
      </w:tr>
      <w:tr w:rsidR="001C6C70" w:rsidRPr="001C1A83" w14:paraId="7BC6B92D" w14:textId="77777777">
        <w:trPr>
          <w:jc w:val="center"/>
        </w:trPr>
        <w:tc>
          <w:tcPr>
            <w:tcW w:w="3600" w:type="dxa"/>
          </w:tcPr>
          <w:p w14:paraId="2C193900"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Macroalgae</w:t>
            </w:r>
          </w:p>
        </w:tc>
        <w:tc>
          <w:tcPr>
            <w:tcW w:w="1728" w:type="dxa"/>
          </w:tcPr>
          <w:p w14:paraId="5EAC87A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1,229</w:t>
            </w:r>
          </w:p>
        </w:tc>
        <w:tc>
          <w:tcPr>
            <w:tcW w:w="1728" w:type="dxa"/>
          </w:tcPr>
          <w:p w14:paraId="1BDCAC3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90.8%</w:t>
            </w:r>
          </w:p>
        </w:tc>
      </w:tr>
      <w:tr w:rsidR="001C6C70" w:rsidRPr="001C1A83" w14:paraId="00A69C6B" w14:textId="77777777">
        <w:trPr>
          <w:jc w:val="center"/>
        </w:trPr>
        <w:tc>
          <w:tcPr>
            <w:tcW w:w="3600" w:type="dxa"/>
          </w:tcPr>
          <w:p w14:paraId="11BAEA5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Sponge</w:t>
            </w:r>
          </w:p>
        </w:tc>
        <w:tc>
          <w:tcPr>
            <w:tcW w:w="1728" w:type="dxa"/>
          </w:tcPr>
          <w:p w14:paraId="4ABCA9CD"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1,170</w:t>
            </w:r>
          </w:p>
        </w:tc>
        <w:tc>
          <w:tcPr>
            <w:tcW w:w="1728" w:type="dxa"/>
          </w:tcPr>
          <w:p w14:paraId="42CAFF08"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86.5%</w:t>
            </w:r>
          </w:p>
        </w:tc>
      </w:tr>
      <w:tr w:rsidR="001C6C70" w:rsidRPr="001C1A83" w14:paraId="4C1FD194" w14:textId="77777777">
        <w:trPr>
          <w:jc w:val="center"/>
        </w:trPr>
        <w:tc>
          <w:tcPr>
            <w:tcW w:w="3600" w:type="dxa"/>
          </w:tcPr>
          <w:p w14:paraId="12CB656D"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Seagrass</w:t>
            </w:r>
          </w:p>
        </w:tc>
        <w:tc>
          <w:tcPr>
            <w:tcW w:w="1728" w:type="dxa"/>
          </w:tcPr>
          <w:p w14:paraId="1FFED50D"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13</w:t>
            </w:r>
          </w:p>
        </w:tc>
        <w:tc>
          <w:tcPr>
            <w:tcW w:w="1728" w:type="dxa"/>
          </w:tcPr>
          <w:p w14:paraId="0E401986"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1.0%</w:t>
            </w:r>
          </w:p>
        </w:tc>
      </w:tr>
      <w:tr w:rsidR="001C6C70" w:rsidRPr="001C1A83" w14:paraId="5A2384A4" w14:textId="77777777">
        <w:trPr>
          <w:jc w:val="center"/>
        </w:trPr>
        <w:tc>
          <w:tcPr>
            <w:tcW w:w="3600" w:type="dxa"/>
          </w:tcPr>
          <w:p w14:paraId="7BB7FD2E"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Artificial</w:t>
            </w:r>
          </w:p>
        </w:tc>
        <w:tc>
          <w:tcPr>
            <w:tcW w:w="1728" w:type="dxa"/>
          </w:tcPr>
          <w:p w14:paraId="5C78D122"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15</w:t>
            </w:r>
          </w:p>
        </w:tc>
        <w:tc>
          <w:tcPr>
            <w:tcW w:w="1728" w:type="dxa"/>
          </w:tcPr>
          <w:p w14:paraId="21FBF645"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1.1%</w:t>
            </w:r>
          </w:p>
        </w:tc>
      </w:tr>
      <w:tr w:rsidR="001C6C70" w:rsidRPr="001C1A83" w14:paraId="0AC810A1" w14:textId="77777777">
        <w:trPr>
          <w:jc w:val="center"/>
        </w:trPr>
        <w:tc>
          <w:tcPr>
            <w:tcW w:w="3600" w:type="dxa"/>
          </w:tcPr>
          <w:p w14:paraId="1FA45DAC"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Unknown</w:t>
            </w:r>
          </w:p>
        </w:tc>
        <w:tc>
          <w:tcPr>
            <w:tcW w:w="1728" w:type="dxa"/>
          </w:tcPr>
          <w:p w14:paraId="7FAA5E01"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3</w:t>
            </w:r>
          </w:p>
        </w:tc>
        <w:tc>
          <w:tcPr>
            <w:tcW w:w="1728" w:type="dxa"/>
          </w:tcPr>
          <w:p w14:paraId="45E55A5A"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rPr>
              <w:t>0.2%</w:t>
            </w:r>
          </w:p>
        </w:tc>
      </w:tr>
    </w:tbl>
    <w:p w14:paraId="226FA099" w14:textId="77777777" w:rsidR="00891713" w:rsidRDefault="00891713" w:rsidP="00683A9D">
      <w:pPr>
        <w:spacing w:line="360" w:lineRule="auto"/>
        <w:jc w:val="both"/>
        <w:rPr>
          <w:rFonts w:ascii="Times New Roman" w:hAnsi="Times New Roman" w:cs="Times New Roman"/>
        </w:rPr>
      </w:pPr>
    </w:p>
    <w:p w14:paraId="3832B37A" w14:textId="10E0FDA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 xml:space="preserve">Presence categories can overlap at a site, so the </w:t>
      </w:r>
      <w:r w:rsidRPr="001C1A83">
        <w:rPr>
          <w:rFonts w:ascii="Times New Roman" w:hAnsi="Times New Roman" w:cs="Times New Roman"/>
        </w:rPr>
        <w:t>percentages are not compositional shares and should not be summed to 100%. Macroalgae and sponge are the most frequently recorded features, while seagrass, artificial features and UNKNOWN are rare in this survey index.</w:t>
      </w:r>
    </w:p>
    <w:p w14:paraId="0C1C11A3" w14:textId="77777777" w:rsidR="001C6C70" w:rsidRPr="001C1A83" w:rsidRDefault="00A411B4" w:rsidP="00A11C49">
      <w:pPr>
        <w:spacing w:line="360" w:lineRule="auto"/>
        <w:jc w:val="center"/>
        <w:rPr>
          <w:rFonts w:ascii="Times New Roman" w:hAnsi="Times New Roman" w:cs="Times New Roman"/>
        </w:rPr>
      </w:pPr>
      <w:r w:rsidRPr="001C1A83">
        <w:rPr>
          <w:rFonts w:ascii="Times New Roman" w:hAnsi="Times New Roman" w:cs="Times New Roman"/>
          <w:noProof/>
        </w:rPr>
        <w:lastRenderedPageBreak/>
        <w:drawing>
          <wp:inline distT="0" distB="0" distL="0" distR="0" wp14:anchorId="4934421C" wp14:editId="431593BA">
            <wp:extent cx="4438650" cy="295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thic_Feature_Presence.png"/>
                    <pic:cNvPicPr/>
                  </pic:nvPicPr>
                  <pic:blipFill>
                    <a:blip r:embed="rId6"/>
                    <a:stretch>
                      <a:fillRect/>
                    </a:stretch>
                  </pic:blipFill>
                  <pic:spPr>
                    <a:xfrm>
                      <a:off x="0" y="0"/>
                      <a:ext cx="4438650" cy="2959100"/>
                    </a:xfrm>
                    <a:prstGeom prst="rect">
                      <a:avLst/>
                    </a:prstGeom>
                  </pic:spPr>
                </pic:pic>
              </a:graphicData>
            </a:graphic>
          </wp:inline>
        </w:drawing>
      </w:r>
    </w:p>
    <w:p w14:paraId="2BDD442D" w14:textId="77777777" w:rsidR="001C6C70" w:rsidRPr="001C1A83" w:rsidRDefault="00A411B4" w:rsidP="00A11C49">
      <w:pPr>
        <w:spacing w:line="360" w:lineRule="auto"/>
        <w:jc w:val="center"/>
        <w:rPr>
          <w:rFonts w:ascii="Times New Roman" w:hAnsi="Times New Roman" w:cs="Times New Roman"/>
        </w:rPr>
      </w:pPr>
      <w:r w:rsidRPr="001C1A83">
        <w:rPr>
          <w:rFonts w:ascii="Times New Roman" w:hAnsi="Times New Roman" w:cs="Times New Roman"/>
        </w:rPr>
        <w:t xml:space="preserve">Figure 1. Benthic feature presence </w:t>
      </w:r>
      <w:r w:rsidRPr="001C1A83">
        <w:rPr>
          <w:rFonts w:ascii="Times New Roman" w:hAnsi="Times New Roman" w:cs="Times New Roman"/>
        </w:rPr>
        <w:t>across all 1,353 survey records.</w:t>
      </w:r>
    </w:p>
    <w:p w14:paraId="628D4165" w14:textId="14EA0FC8"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7. Spatial Data Preparation</w:t>
      </w:r>
    </w:p>
    <w:p w14:paraId="6012B1BB" w14:textId="6B846CC5"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The QGIS</w:t>
      </w:r>
      <w:r w:rsidRPr="001C1A83">
        <w:rPr>
          <w:rFonts w:ascii="Times New Roman" w:hAnsi="Times New Roman" w:cs="Times New Roman"/>
        </w:rPr>
        <w:t xml:space="preserve"> </w:t>
      </w:r>
      <w:proofErr w:type="spellStart"/>
      <w:r w:rsidRPr="001C1A83">
        <w:rPr>
          <w:rFonts w:ascii="Times New Roman" w:hAnsi="Times New Roman" w:cs="Times New Roman"/>
        </w:rPr>
        <w:t>GeoJSON</w:t>
      </w:r>
      <w:proofErr w:type="spellEnd"/>
      <w:r w:rsidRPr="001C1A83">
        <w:rPr>
          <w:rFonts w:ascii="Times New Roman" w:hAnsi="Times New Roman" w:cs="Times New Roman"/>
        </w:rPr>
        <w:t xml:space="preserve"> uses source longitude and latitude as point geometry in WGS84 (EPSG:4326). This avoids relying on the two source projected-coordinate pairs flagged for AA2017_149. The spat</w:t>
      </w:r>
      <w:r w:rsidRPr="001C1A83">
        <w:rPr>
          <w:rFonts w:ascii="Times New Roman" w:hAnsi="Times New Roman" w:cs="Times New Roman"/>
        </w:rPr>
        <w:t>ial output contains survey purpose, region, depth, binary habitat indicators, QA status, notes and video URL.</w:t>
      </w:r>
    </w:p>
    <w:p w14:paraId="57181B57" w14:textId="0BC90758" w:rsidR="001C6C70" w:rsidRPr="001C1A83" w:rsidRDefault="00A411B4" w:rsidP="00891713">
      <w:pPr>
        <w:spacing w:line="360" w:lineRule="auto"/>
        <w:jc w:val="center"/>
        <w:rPr>
          <w:rFonts w:ascii="Times New Roman" w:hAnsi="Times New Roman" w:cs="Times New Roman"/>
        </w:rPr>
      </w:pPr>
      <w:r w:rsidRPr="001C1A83">
        <w:rPr>
          <w:rFonts w:ascii="Times New Roman" w:hAnsi="Times New Roman" w:cs="Times New Roman"/>
          <w:noProof/>
        </w:rPr>
        <w:drawing>
          <wp:inline distT="0" distB="0" distL="0" distR="0" wp14:anchorId="447236A4" wp14:editId="63E52F9C">
            <wp:extent cx="4610100" cy="307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Location_Map_Preview.png"/>
                    <pic:cNvPicPr/>
                  </pic:nvPicPr>
                  <pic:blipFill>
                    <a:blip r:embed="rId7"/>
                    <a:stretch>
                      <a:fillRect/>
                    </a:stretch>
                  </pic:blipFill>
                  <pic:spPr>
                    <a:xfrm>
                      <a:off x="0" y="0"/>
                      <a:ext cx="4610100" cy="3073400"/>
                    </a:xfrm>
                    <a:prstGeom prst="rect">
                      <a:avLst/>
                    </a:prstGeom>
                  </pic:spPr>
                </pic:pic>
              </a:graphicData>
            </a:graphic>
          </wp:inline>
        </w:drawing>
      </w:r>
      <w:r w:rsidR="00891713">
        <w:rPr>
          <w:rFonts w:ascii="Times New Roman" w:hAnsi="Times New Roman" w:cs="Times New Roman"/>
        </w:rPr>
        <w:br/>
      </w:r>
      <w:r w:rsidRPr="001C1A83">
        <w:rPr>
          <w:rFonts w:ascii="Times New Roman" w:hAnsi="Times New Roman" w:cs="Times New Roman"/>
        </w:rPr>
        <w:t>Figure 2. Spatial distribution preview based on source longitude and latitude.</w:t>
      </w:r>
    </w:p>
    <w:p w14:paraId="22CB042B" w14:textId="3A2B67DA" w:rsidR="00A11C49" w:rsidRPr="00891713" w:rsidRDefault="00A411B4" w:rsidP="00683A9D">
      <w:pPr>
        <w:spacing w:line="360" w:lineRule="auto"/>
        <w:jc w:val="both"/>
        <w:rPr>
          <w:rFonts w:ascii="Times New Roman" w:hAnsi="Times New Roman" w:cs="Times New Roman"/>
        </w:rPr>
      </w:pPr>
      <w:r w:rsidRPr="001C1A83">
        <w:rPr>
          <w:rFonts w:ascii="Times New Roman" w:hAnsi="Times New Roman" w:cs="Times New Roman"/>
        </w:rPr>
        <w:lastRenderedPageBreak/>
        <w:t xml:space="preserve">The distribution naturally separates the source </w:t>
      </w:r>
      <w:r w:rsidRPr="001C1A83">
        <w:rPr>
          <w:rFonts w:ascii="Times New Roman" w:hAnsi="Times New Roman" w:cs="Times New Roman"/>
        </w:rPr>
        <w:t>geographic-region categories from west to east. For a QGIS portfolio, useful map layouts include survey locations by geographic region, Ground Validation versus Accuracy Assessment sites, and the six QA Review locations.</w:t>
      </w:r>
    </w:p>
    <w:p w14:paraId="1D391AEB" w14:textId="1AF583F6"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8. Excel Deliverable</w:t>
      </w:r>
    </w:p>
    <w:p w14:paraId="32CA62B1" w14:textId="7777777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The Excel work</w:t>
      </w:r>
      <w:r w:rsidRPr="001C1A83">
        <w:rPr>
          <w:rFonts w:ascii="Times New Roman" w:hAnsi="Times New Roman" w:cs="Times New Roman"/>
        </w:rPr>
        <w:t>book is designed as a practical data-management artifact rather than a static analysis table. It contains controlled review-status dropdowns, a master table of job-relevant fields, a review queue, issue log, data dictionary, formula-driven summary statisti</w:t>
      </w:r>
      <w:r w:rsidRPr="001C1A83">
        <w:rPr>
          <w:rFonts w:ascii="Times New Roman" w:hAnsi="Times New Roman" w:cs="Times New Roman"/>
        </w:rPr>
        <w:t>cs, and a dashboard.</w:t>
      </w:r>
    </w:p>
    <w:p w14:paraId="1938F86B" w14:textId="77777777" w:rsidR="001C6C70" w:rsidRPr="001C1A83" w:rsidRDefault="00A411B4" w:rsidP="00A11C49">
      <w:pPr>
        <w:spacing w:line="360" w:lineRule="auto"/>
        <w:rPr>
          <w:rFonts w:ascii="Times New Roman" w:hAnsi="Times New Roman" w:cs="Times New Roman"/>
        </w:rPr>
      </w:pPr>
      <w:r w:rsidRPr="001C1A83">
        <w:rPr>
          <w:rFonts w:ascii="Times New Roman" w:hAnsi="Times New Roman" w:cs="Times New Roman"/>
          <w:noProof/>
        </w:rPr>
        <w:drawing>
          <wp:inline distT="0" distB="0" distL="0" distR="0" wp14:anchorId="60A44B93" wp14:editId="3BF66BF6">
            <wp:extent cx="630682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Dashboard_Preview_Full.png"/>
                    <pic:cNvPicPr/>
                  </pic:nvPicPr>
                  <pic:blipFill>
                    <a:blip r:embed="rId8"/>
                    <a:stretch>
                      <a:fillRect/>
                    </a:stretch>
                  </pic:blipFill>
                  <pic:spPr>
                    <a:xfrm>
                      <a:off x="0" y="0"/>
                      <a:ext cx="6315204" cy="1831231"/>
                    </a:xfrm>
                    <a:prstGeom prst="rect">
                      <a:avLst/>
                    </a:prstGeom>
                  </pic:spPr>
                </pic:pic>
              </a:graphicData>
            </a:graphic>
          </wp:inline>
        </w:drawing>
      </w:r>
    </w:p>
    <w:p w14:paraId="399EEBBA" w14:textId="45843C80" w:rsidR="001C6C70" w:rsidRPr="001C1A83" w:rsidRDefault="00A411B4" w:rsidP="00A11C49">
      <w:pPr>
        <w:spacing w:line="360" w:lineRule="auto"/>
        <w:jc w:val="center"/>
        <w:rPr>
          <w:rFonts w:ascii="Times New Roman" w:hAnsi="Times New Roman" w:cs="Times New Roman"/>
        </w:rPr>
      </w:pPr>
      <w:r w:rsidRPr="001C1A83">
        <w:rPr>
          <w:rFonts w:ascii="Times New Roman" w:hAnsi="Times New Roman" w:cs="Times New Roman"/>
        </w:rPr>
        <w:t xml:space="preserve">Figure 3. Excel management dashboard </w:t>
      </w:r>
    </w:p>
    <w:p w14:paraId="20C603A8" w14:textId="77777777"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9. Management Use and Field-Team Support</w:t>
      </w:r>
    </w:p>
    <w:p w14:paraId="678709A3" w14:textId="7777777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In an operational marine monitoring program, the same workflow can be used to provide structured feedback to data collect</w:t>
      </w:r>
      <w:r w:rsidRPr="001C1A83">
        <w:rPr>
          <w:rFonts w:ascii="Times New Roman" w:hAnsi="Times New Roman" w:cs="Times New Roman"/>
        </w:rPr>
        <w:t>ors. Records that fail required-field or domain checks can be returned immediately, while review-level issues can be escalated with the observation ID, the exact problem, the original value and a documented action. This avoids ambiguous feedback and protec</w:t>
      </w:r>
      <w:r w:rsidRPr="001C1A83">
        <w:rPr>
          <w:rFonts w:ascii="Times New Roman" w:hAnsi="Times New Roman" w:cs="Times New Roman"/>
        </w:rPr>
        <w:t>ts the audit trail.</w:t>
      </w:r>
    </w:p>
    <w:p w14:paraId="4289A89A" w14:textId="77777777" w:rsidR="001C6C70" w:rsidRPr="001C1A83" w:rsidRDefault="00A411B4" w:rsidP="00683A9D">
      <w:pPr>
        <w:spacing w:line="360" w:lineRule="auto"/>
        <w:jc w:val="both"/>
        <w:rPr>
          <w:rFonts w:ascii="Times New Roman" w:hAnsi="Times New Roman" w:cs="Times New Roman"/>
        </w:rPr>
      </w:pPr>
      <w:r w:rsidRPr="001C1A83">
        <w:rPr>
          <w:rFonts w:ascii="Times New Roman" w:hAnsi="Times New Roman" w:cs="Times New Roman"/>
        </w:rPr>
        <w:t>The separate Marine Field Data QA Guide in this package provides a concise protocol for identifiers, GPS coordinates, dates/times, media links, habitat categories, use of UNKNOWN, and pre-submission checks.</w:t>
      </w:r>
    </w:p>
    <w:p w14:paraId="3615F57C" w14:textId="77777777" w:rsidR="001C6C70" w:rsidRPr="001C1A83" w:rsidRDefault="00A411B4" w:rsidP="00A11C49">
      <w:pPr>
        <w:pStyle w:val="Heading1"/>
        <w:spacing w:line="360" w:lineRule="auto"/>
        <w:rPr>
          <w:rFonts w:ascii="Times New Roman" w:hAnsi="Times New Roman" w:cs="Times New Roman"/>
          <w:color w:val="auto"/>
        </w:rPr>
      </w:pPr>
      <w:r w:rsidRPr="001C1A83">
        <w:rPr>
          <w:rFonts w:ascii="Times New Roman" w:hAnsi="Times New Roman" w:cs="Times New Roman"/>
          <w:color w:val="auto"/>
        </w:rPr>
        <w:t>10. Limitations</w:t>
      </w:r>
    </w:p>
    <w:p w14:paraId="03777236" w14:textId="77777777" w:rsidR="001C6C70" w:rsidRPr="001C1A83" w:rsidRDefault="00A411B4" w:rsidP="00683A9D">
      <w:pPr>
        <w:pStyle w:val="ListBullet"/>
        <w:spacing w:line="360" w:lineRule="auto"/>
        <w:jc w:val="both"/>
        <w:rPr>
          <w:rFonts w:ascii="Times New Roman" w:hAnsi="Times New Roman" w:cs="Times New Roman"/>
        </w:rPr>
      </w:pPr>
      <w:r w:rsidRPr="001C1A83">
        <w:rPr>
          <w:rFonts w:ascii="Times New Roman" w:hAnsi="Times New Roman" w:cs="Times New Roman"/>
        </w:rPr>
        <w:t xml:space="preserve">This </w:t>
      </w:r>
      <w:r w:rsidRPr="001C1A83">
        <w:rPr>
          <w:rFonts w:ascii="Times New Roman" w:hAnsi="Times New Roman" w:cs="Times New Roman"/>
        </w:rPr>
        <w:t>project does not independently reclassify benthic habitats from the underwater videos.</w:t>
      </w:r>
    </w:p>
    <w:p w14:paraId="18654521" w14:textId="77777777" w:rsidR="001C6C70" w:rsidRPr="001C1A83" w:rsidRDefault="00A411B4" w:rsidP="00683A9D">
      <w:pPr>
        <w:pStyle w:val="ListBullet"/>
        <w:spacing w:line="360" w:lineRule="auto"/>
        <w:jc w:val="both"/>
        <w:rPr>
          <w:rFonts w:ascii="Times New Roman" w:hAnsi="Times New Roman" w:cs="Times New Roman"/>
        </w:rPr>
      </w:pPr>
      <w:r w:rsidRPr="001C1A83">
        <w:rPr>
          <w:rFonts w:ascii="Times New Roman" w:hAnsi="Times New Roman" w:cs="Times New Roman"/>
        </w:rPr>
        <w:t>A Review flag means the record requires verification; it is not evidence that NOAA's source classification is wrong.</w:t>
      </w:r>
    </w:p>
    <w:p w14:paraId="0E50B4C9" w14:textId="056AB775" w:rsidR="001C6C70" w:rsidRPr="00891713" w:rsidRDefault="00A411B4" w:rsidP="00683A9D">
      <w:pPr>
        <w:pStyle w:val="ListBullet"/>
        <w:spacing w:line="360" w:lineRule="auto"/>
        <w:jc w:val="both"/>
        <w:rPr>
          <w:rFonts w:ascii="Times New Roman" w:hAnsi="Times New Roman" w:cs="Times New Roman"/>
        </w:rPr>
      </w:pPr>
      <w:r w:rsidRPr="001C1A83">
        <w:rPr>
          <w:rFonts w:ascii="Times New Roman" w:hAnsi="Times New Roman" w:cs="Times New Roman"/>
        </w:rPr>
        <w:t>The derived EPSG:3857 coordinates are used only to d</w:t>
      </w:r>
      <w:r w:rsidRPr="001C1A83">
        <w:rPr>
          <w:rFonts w:ascii="Times New Roman" w:hAnsi="Times New Roman" w:cs="Times New Roman"/>
        </w:rPr>
        <w:t>etect spatial inconsistency and are not presented as an authoritative correction.</w:t>
      </w:r>
    </w:p>
    <w:sectPr w:rsidR="001C6C70" w:rsidRPr="00891713" w:rsidSect="00891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A83"/>
    <w:rsid w:val="001C6C70"/>
    <w:rsid w:val="0029639D"/>
    <w:rsid w:val="00326F90"/>
    <w:rsid w:val="00683A9D"/>
    <w:rsid w:val="00891713"/>
    <w:rsid w:val="00A11C49"/>
    <w:rsid w:val="00A411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45DAF"/>
  <w14:defaultImageDpi w14:val="300"/>
  <w15:docId w15:val="{37E158F8-0D54-433C-8AB3-F2182863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Siam Waliur Rahman</cp:lastModifiedBy>
  <cp:revision>2</cp:revision>
  <dcterms:created xsi:type="dcterms:W3CDTF">2013-12-23T23:15:00Z</dcterms:created>
  <dcterms:modified xsi:type="dcterms:W3CDTF">2026-08-19T14:25:00Z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51e81f26-21d6-4606-91b0-9aeaa1c5929e</vt:lpwstr>
  </property>
</Properties>
</file>