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Manager of Applied AI Architecture, Partnerships</w:t>
      </w:r>
    </w:p>
    <w:p>
      <w:pPr>
        <w:pStyle w:val="Heading1"/>
      </w:pPr>
      <w:r>
        <w:t>Amit Ayer</w:t>
      </w:r>
    </w:p>
    <w:p>
      <w:r>
        <w:t>Boca Raton, FL | +1-917-239-3830 | amitayer1@gmail.com</w:t>
      </w:r>
    </w:p>
    <w:p>
      <w:r>
        <w:t>linkedin.com/in/amitayer1 | github.com/Siamese001/Agentic-Workflow</w:t>
      </w:r>
    </w:p>
    <w:p/>
    <w:p>
      <w:pPr>
        <w:pStyle w:val="Heading2"/>
      </w:pPr>
      <w:r>
        <w:t>EXECUTIVE SUMMARY</w:t>
      </w:r>
    </w:p>
    <w:p>
      <w:r>
        <w:t>Applied AI and cloud-platform executive with 20+ years of experience leading enterprise architecture, commercialization, and modernization programs in regulated financial services and insurance environments. Built and scaled production-grade agentic AI platforms with governed autonomy, retrieval, evaluation, observability, and auditability controls; reduced AI lab-to-production cycles from six months to three weeks. Brings consulting and hyperscaler alliance experience, including $22M in IP-led revenue at Unify Consulting and $15M in incremental revenue from multi-year hyperscaler co-sell alliances at IBM. Engineering leader who scaled an ML organization from 8 to 28 specialists and aligns technical, commercial, product, security, and governance stakeholders around reliable enterprise AI adoption.</w:t>
      </w:r>
    </w:p>
    <w:p/>
    <w:p>
      <w:pPr>
        <w:pStyle w:val="Heading2"/>
      </w:pPr>
      <w:r>
        <w:t>CORE COMPETENCIES</w:t>
      </w:r>
    </w:p>
    <w:p>
      <w:pPr>
        <w:pStyle w:val="ListBullet"/>
      </w:pPr>
      <w:r>
        <w:t>**Applied AI Architecture &amp; Governed Agentic Systems:** Multi-agent orchestration, deterministic routing, policy gating, sandboxed execution, governed autonomy, and replayable execution traces</w:t>
      </w:r>
    </w:p>
    <w:p>
      <w:pPr>
        <w:pStyle w:val="ListBullet"/>
      </w:pPr>
      <w:r>
        <w:t>**Enterprise AI Reliability &amp; Safety Controls:** Evaluation pipelines, validation gates, AI CI/CD, rollback controls, drift monitoring, prompt injection mitigation, traceability, and human-in-the-loop escalation</w:t>
      </w:r>
    </w:p>
    <w:p>
      <w:pPr>
        <w:pStyle w:val="ListBullet"/>
      </w:pPr>
      <w:r>
        <w:t>**Retrieval &amp; Context Engineering:** GraphRAG, vector indexing, embedding pipelines, semantic retrieval, metadata-aware ranking, context assembly, and retrieval quality optimization</w:t>
      </w:r>
    </w:p>
    <w:p>
      <w:pPr>
        <w:pStyle w:val="ListBullet"/>
      </w:pPr>
      <w:r>
        <w:t>**Cloud-Native AI Platforms &amp; Integrations:** AWS, Databricks Lakehouse, microservices, event-driven architectures, API gateways, identity controls, distributed compute, and high availability</w:t>
      </w:r>
    </w:p>
    <w:p>
      <w:pPr>
        <w:pStyle w:val="ListBullet"/>
      </w:pPr>
      <w:r>
        <w:t>**Partner Ecosystem &amp; Joint GTM Execution:** Hyperscaler alliances, co-sell motions, partner solution architecture, reference architectures, field enablement, partner packaging, and partner-led platform adoption</w:t>
      </w:r>
    </w:p>
    <w:p>
      <w:pPr>
        <w:pStyle w:val="ListBullet"/>
      </w:pPr>
      <w:r>
        <w:t>**Platform Productization &amp; Commercialization:** Reusable AI primitives, solution accelerators, platform roadmaps, pricing strategy, enterprise adoption enablement, and scalable platform economics</w:t>
      </w:r>
    </w:p>
    <w:p>
      <w:pPr>
        <w:pStyle w:val="ListBullet"/>
      </w:pPr>
      <w:r>
        <w:t>**Technical Leadership &amp; Cross-Functional Alignment:** Architecture governance, engineering hiring and leveling, technical leadership development, platform standards, and alignment across product, security, legal, compliance, and field teams</w:t>
      </w:r>
    </w:p>
    <w:p/>
    <w:p>
      <w:pPr>
        <w:pStyle w:val="Heading2"/>
      </w:pPr>
      <w:r>
        <w:t>PROFESSIONAL EXPERIENCE</w:t>
      </w:r>
    </w:p>
    <w:p/>
    <w:p>
      <w:pPr>
        <w:pStyle w:val="Heading3"/>
      </w:pPr>
      <w:r>
        <w:t>Unify Consulting</w:t>
      </w:r>
    </w:p>
    <w:p>
      <w:r>
        <w:t>**SVP Engineering, Agentic AI Platforms** | Boca Raton, FL | Feb 2023–Present</w:t>
      </w:r>
    </w:p>
    <w:p>
      <w:pPr>
        <w:pStyle w:val="ListBullet"/>
      </w:pPr>
      <w:r>
        <w:t>Designed and operationalized a governed agentic AI platform for regulated enterprise workflows, combining deterministic routing, multi-agent orchestration, GraphRAG retrieval, sandboxed execution, policy gating, validation controls, and replayable execution traces.</w:t>
      </w:r>
    </w:p>
    <w:p>
      <w:pPr>
        <w:pStyle w:val="ListBullet"/>
      </w:pPr>
      <w:r>
        <w:t>Built a dependency-graph accelerator that improved architecture visibility, exposed dependency chains, and reduced refactor risk as complex legacy systems moved toward governed agentic deployment.</w:t>
      </w:r>
    </w:p>
    <w:p>
      <w:pPr>
        <w:pStyle w:val="ListBullet"/>
      </w:pPr>
      <w:r>
        <w:t>Strengthened retrieval quality, context assembly, evaluation gates, telemetry instrumentation, rollback controls, and AI CI/CD standards, making production AI behavior more traceable, supportable, and repeatable.</w:t>
      </w:r>
    </w:p>
    <w:p>
      <w:pPr>
        <w:pStyle w:val="ListBullet"/>
      </w:pPr>
      <w:r>
        <w:t>Standardized the AI systems lifecycle across intake, validation, execution, monitoring, and remediation, reducing lab-to-production cycle time from six months to three weeks while preserving deterministic auditability and runtime stability.</w:t>
      </w:r>
    </w:p>
    <w:p>
      <w:pPr>
        <w:pStyle w:val="ListBullet"/>
      </w:pPr>
      <w:r>
        <w:t>Architected cloud-native microservices across AWS and Databricks Lakehouse, integrating enterprise data pipelines, vector services, API gateways, identity controls, and highly available execution layers for parallel decision workflows.</w:t>
      </w:r>
    </w:p>
    <w:p>
      <w:pPr>
        <w:pStyle w:val="ListBullet"/>
      </w:pPr>
      <w:r>
        <w:t>Productized core agentic AI primitives into reusable platform services, generating $22M in IP-led revenue, expanding gross margins by 20%, and scaling the ML engineering organization from 8 to 28 specialists, including senior engineers and platform leads.</w:t>
      </w:r>
    </w:p>
    <w:p/>
    <w:p>
      <w:pPr>
        <w:pStyle w:val="Heading3"/>
      </w:pPr>
      <w:r>
        <w:t>IBM</w:t>
      </w:r>
    </w:p>
    <w:p>
      <w:r>
        <w:t>**Partner** | Edgewater, NJ | Apr 2017–Oct 2022</w:t>
      </w:r>
    </w:p>
    <w:p>
      <w:pPr>
        <w:pStyle w:val="ListBullet"/>
      </w:pPr>
      <w:r>
        <w:t>Led architecture and commercial ownership for a $30M cloud and AI transformation portfolio serving Fortune 500 financial institutions migrating to governed, cloud-native data platforms.</w:t>
      </w:r>
    </w:p>
    <w:p>
      <w:pPr>
        <w:pStyle w:val="ListBullet"/>
      </w:pPr>
      <w:r>
        <w:t>Architected cloud-native AI and analytics platforms that enabled governed enterprise decision systems operating at 99.9% uptime across regulated financial environments.</w:t>
      </w:r>
    </w:p>
    <w:p>
      <w:pPr>
        <w:pStyle w:val="ListBullet"/>
      </w:pPr>
      <w:r>
        <w:t>Led legacy on-premises-to-cloud modernization programs, reducing infrastructure overhead by 30% while establishing a scalable data and compute foundation for analytics and ML deployment.</w:t>
      </w:r>
    </w:p>
    <w:p>
      <w:pPr>
        <w:pStyle w:val="ListBullet"/>
      </w:pPr>
      <w:r>
        <w:t>Converted bespoke regulatory and analytics workflows into reusable SaaS-like platforms, improving renewal rates by 25% through standardized architecture, shared services, and repeatable lifecycle management.</w:t>
      </w:r>
    </w:p>
    <w:p>
      <w:pPr>
        <w:pStyle w:val="ListBullet"/>
      </w:pPr>
      <w:r>
        <w:t>Structured multi-year hyperscaler alliances and co-sell motions that generated $15M in incremental revenue aligned to platform modernization and AI growth.</w:t>
      </w:r>
    </w:p>
    <w:p/>
    <w:p>
      <w:pPr>
        <w:pStyle w:val="Heading3"/>
      </w:pPr>
      <w:r>
        <w:t>InsurTech Cloud Solutions</w:t>
      </w:r>
    </w:p>
    <w:p>
      <w:r>
        <w:t>**Chief Technology Officer** | New York, NY | Apr 2014–Mar 2017</w:t>
      </w:r>
    </w:p>
    <w:p>
      <w:pPr>
        <w:pStyle w:val="ListBullet"/>
      </w:pPr>
      <w:r>
        <w:t>Founded and led a cloud-native engineering firm focused on modernizing legacy insurance technology stacks for middle-market insurers.</w:t>
      </w:r>
    </w:p>
    <w:p>
      <w:pPr>
        <w:pStyle w:val="ListBullet"/>
      </w:pPr>
      <w:r>
        <w:t>Led end-to-end modernization of monolithic policy administration systems into AWS-based architectures, reducing total cost of ownership by 40% and improving delivery speed for client-facing insurance platforms.</w:t>
      </w:r>
    </w:p>
    <w:p>
      <w:pPr>
        <w:pStyle w:val="ListBullet"/>
      </w:pPr>
      <w:r>
        <w:t>Designed SOC 2-aligned cloud control frameworks that enabled regulated insurers to adopt modern analytics and ML capabilities with stronger security, auditability, and operational discipline.</w:t>
      </w:r>
    </w:p>
    <w:p>
      <w:pPr>
        <w:pStyle w:val="ListBullet"/>
      </w:pPr>
      <w:r>
        <w:t>Re-architected underwriting and operational systems for high availability, achieving 99.99% uptime and enabling real-time ingestion for dynamic pricing and faster decisions.</w:t>
      </w:r>
    </w:p>
    <w:p/>
    <w:p>
      <w:pPr>
        <w:pStyle w:val="Heading3"/>
      </w:pPr>
      <w:r>
        <w:t>Ernst &amp; Young</w:t>
      </w:r>
    </w:p>
    <w:p>
      <w:r>
        <w:t>**Principal** | New York, NY | Oct 2009–Mar 2014</w:t>
      </w:r>
    </w:p>
    <w:p>
      <w:pPr>
        <w:pStyle w:val="ListBullet"/>
      </w:pPr>
      <w:r>
        <w:t>Led an $18M regulatory analytics modernization program for global banks, transforming audit functions into predictive risk capabilities with stronger lineage and controls.</w:t>
      </w:r>
    </w:p>
    <w:p>
      <w:pPr>
        <w:pStyle w:val="ListBullet"/>
      </w:pPr>
      <w:r>
        <w:t>Directed a $15M transformation program that improved lineage, controls, and predictive risk capabilities across audit and regulatory workflows.</w:t>
      </w:r>
    </w:p>
    <w:p>
      <w:pPr>
        <w:pStyle w:val="ListBullet"/>
      </w:pPr>
      <w:r>
        <w:t>Reduced audit remediation costs by 40% through automated data lineage and predictive risk modeling across regulatory workflows.</w:t>
      </w:r>
    </w:p>
    <w:p>
      <w:pPr>
        <w:pStyle w:val="ListBullet"/>
      </w:pPr>
      <w:r>
        <w:t>Optimized capital reserve requirements under Solvency II and AG43, reducing redundant capital holdings by 12% while maintaining full compliance.</w:t>
      </w:r>
    </w:p>
    <w:p>
      <w:pPr>
        <w:pStyle w:val="ListBullet"/>
      </w:pPr>
      <w:r>
        <w:t>Delivered Guidewire core-system implementations for insurance carriers, automating claims processing and modernizing policy administration.</w:t>
      </w:r>
    </w:p>
    <w:p/>
    <w:p>
      <w:pPr>
        <w:pStyle w:val="Heading3"/>
      </w:pPr>
      <w:r>
        <w:t>Early Career Roles</w:t>
      </w:r>
    </w:p>
    <w:p>
      <w:r>
        <w:t>**Actuarial Consultant and Quantitative Roles** | Philadelphia, PA | Oct 2002–Sep 2009</w:t>
      </w:r>
    </w:p>
    <w:p>
      <w:pPr>
        <w:pStyle w:val="ListBullet"/>
      </w:pPr>
      <w:r>
        <w:t>Priced exotic derivatives and structured multi-Greek hedging strategies, built stochastic capital models, and supported HPC-based valuation frameworks for scenario testing and capital adequacy.</w:t>
      </w:r>
    </w:p>
    <w:p>
      <w:pPr>
        <w:pStyle w:val="ListBullet"/>
      </w:pPr>
      <w:r>
        <w:t>Developed quantitative rigor and risk discipline that underpin later work in enterprise architecture, governance, and regulated AI platform delivery.</w:t>
      </w:r>
    </w:p>
    <w:p/>
    <w:p>
      <w:pPr>
        <w:pStyle w:val="Heading2"/>
      </w:pPr>
      <w:r>
        <w:t>EDUCATION</w:t>
      </w:r>
    </w:p>
    <w:p>
      <w:r>
        <w:t>**Master of Science in Biostatistics, Graduated with Distinction**</w:t>
      </w:r>
    </w:p>
    <w:p>
      <w:r>
        <w:t>Columbia University</w:t>
      </w:r>
    </w:p>
    <w:p/>
    <w:p>
      <w:r>
        <w:t>**Bachelor of Arts in Biology, Graduated Cum Laude**</w:t>
      </w:r>
    </w:p>
    <w:p>
      <w:r>
        <w:t>Brown University</w:t>
      </w:r>
    </w:p>
    <w:p/>
    <w:p>
      <w:pPr>
        <w:pStyle w:val="Heading2"/>
      </w:pPr>
      <w:r>
        <w:t>CERTIFICATIONS</w:t>
      </w:r>
    </w:p>
    <w:p>
      <w:pPr>
        <w:pStyle w:val="ListBullet"/>
      </w:pPr>
      <w:r>
        <w:t>AWS Certified Machine Learning Engineer – Associate, 2025</w:t>
      </w:r>
    </w:p>
    <w:p>
      <w:pPr>
        <w:pStyle w:val="ListBullet"/>
      </w:pPr>
      <w:r>
        <w:t>AWS Certified Solutions Architect – Professional, 2023</w:t>
      </w:r>
    </w:p>
    <w:p>
      <w:pPr>
        <w:pStyle w:val="ListBullet"/>
      </w:pPr>
      <w:r>
        <w:t>Databricks Lakehouse Fundamentals Accreditation, 2023</w:t>
      </w:r>
    </w:p>
    <w:p>
      <w:pPr>
        <w:pStyle w:val="ListBullet"/>
      </w:pPr>
      <w:r>
        <w:t>Fellow of the Society of Actuaries, 2010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