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</w:rPr>
        <w:t>Amit Ayer</w:t>
      </w:r>
    </w:p>
    <w:p>
      <w:pPr>
        <w:spacing w:after="80"/>
        <w:jc w:val="center"/>
      </w:pPr>
      <w:r>
        <w:rPr>
          <w:b w:val="0"/>
          <w:i w:val="0"/>
          <w:sz w:val="18"/>
        </w:rPr>
        <w:t>+1-917-239-3830 | amitayer1@gmail.com | linkedin.com/in/amitayer1 | github.com/Siamese001/Agentic-Workflow</w:t>
      </w:r>
    </w:p>
    <w:p>
      <w:pPr>
        <w:spacing w:before="200" w:after="60"/>
      </w:pPr>
      <w:r>
        <w:rPr>
          <w:b/>
          <w:color w:val="1F3A5F"/>
          <w:sz w:val="22"/>
        </w:rPr>
        <w:t>HEADLINE</w:t>
      </w:r>
    </w:p>
    <w:p>
      <w:pPr>
        <w:spacing w:after="80"/>
      </w:pPr>
      <w:r>
        <w:rPr>
          <w:b w:val="0"/>
          <w:i/>
          <w:sz w:val="18"/>
        </w:rPr>
        <w:t>[NOT_GENERATED_BY_RUN: headline - missing_or_empty_headline]</w:t>
      </w:r>
    </w:p>
    <w:p>
      <w:pPr>
        <w:spacing w:before="200" w:after="60"/>
      </w:pPr>
      <w:r>
        <w:rPr>
          <w:b/>
          <w:color w:val="1F3A5F"/>
          <w:sz w:val="22"/>
        </w:rPr>
        <w:t>EXECUTIVE SUMMARY</w:t>
      </w:r>
    </w:p>
    <w:p>
      <w:pPr>
        <w:spacing w:after="80"/>
      </w:pPr>
      <w:r>
        <w:rPr>
          <w:b w:val="0"/>
          <w:i/>
          <w:sz w:val="18"/>
        </w:rPr>
        <w:t>[NOT_GENERATED_BY_RUN: executive_summary - missing_or_empty_executive_summary]</w:t>
      </w:r>
    </w:p>
    <w:p>
      <w:pPr>
        <w:spacing w:before="200" w:after="60"/>
      </w:pPr>
      <w:r>
        <w:rPr>
          <w:b/>
          <w:color w:val="1F3A5F"/>
          <w:sz w:val="22"/>
        </w:rPr>
        <w:t>ENGINEERING &amp; PLATFORM COMPETENCIES</w:t>
      </w:r>
    </w:p>
    <w:p>
      <w:pPr>
        <w:spacing w:after="40"/>
      </w:pPr>
      <w:r>
        <w:rPr>
          <w:b/>
          <w:sz w:val="20"/>
        </w:rPr>
        <w:t xml:space="preserve">Cloud &amp; Partner Ecosystems: </w:t>
      </w:r>
      <w:r>
        <w:rPr>
          <w:sz w:val="20"/>
        </w:rPr>
        <w:t>partner-ready applied AI reference architectures, co-developed AI solution patterns for partners, safe AI partner deployment assurance patterns</w:t>
      </w:r>
    </w:p>
    <w:p>
      <w:pPr>
        <w:spacing w:after="40"/>
      </w:pPr>
      <w:r>
        <w:rPr>
          <w:b/>
          <w:sz w:val="20"/>
        </w:rPr>
        <w:t xml:space="preserve">AI Platform Leadership: </w:t>
      </w:r>
      <w:r>
        <w:rPr>
          <w:sz w:val="20"/>
        </w:rPr>
        <w:t>governed multi-agent orchestration control planes, agentic workflow routing across enterprise systems, policy-bound execution architecture for AI agents</w:t>
      </w:r>
    </w:p>
    <w:p>
      <w:pPr>
        <w:spacing w:after="40"/>
      </w:pPr>
      <w:r>
        <w:rPr>
          <w:b/>
          <w:sz w:val="20"/>
        </w:rPr>
        <w:t xml:space="preserve">Governance, Risk &amp; Compliance: </w:t>
      </w:r>
      <w:r>
        <w:rPr>
          <w:sz w:val="20"/>
        </w:rPr>
        <w:t>fail-closed runtime control gate design, policy enforcement across agent execution paths, sandboxed decision workflows with audit trails</w:t>
      </w:r>
    </w:p>
    <w:p>
      <w:pPr>
        <w:spacing w:after="40"/>
      </w:pPr>
      <w:r>
        <w:rPr>
          <w:b/>
          <w:sz w:val="20"/>
        </w:rPr>
        <w:t xml:space="preserve">Technology Strategy &amp; Innovation: </w:t>
      </w:r>
      <w:r>
        <w:rPr>
          <w:sz w:val="20"/>
        </w:rPr>
        <w:t>GraphRAG context grounding for enterprise workflows, dense-sparse retrieval with relationship-aware ranking, authority-ordered prompt context assembly pipelines</w:t>
      </w:r>
    </w:p>
    <w:p>
      <w:pPr>
        <w:spacing w:after="40"/>
      </w:pPr>
      <w:r>
        <w:rPr>
          <w:b/>
          <w:sz w:val="20"/>
        </w:rPr>
        <w:t xml:space="preserve">Commercial &amp; Operating Impact: </w:t>
      </w:r>
      <w:r>
        <w:rPr>
          <w:sz w:val="20"/>
        </w:rPr>
        <w:t>demoable AI accelerators for executive buyers, reusable platform IP commercialization motions, evaluation-ready delivery from prototype to adoption</w:t>
      </w:r>
    </w:p>
    <w:p>
      <w:pPr>
        <w:spacing w:after="40"/>
      </w:pPr>
      <w:r>
        <w:rPr>
          <w:b/>
          <w:sz w:val="20"/>
        </w:rPr>
        <w:t xml:space="preserve">LLMOps &amp; Reliability: </w:t>
      </w:r>
      <w:r>
        <w:rPr>
          <w:sz w:val="20"/>
        </w:rPr>
        <w:t>audit-grade telemetry for agentic systems, evaluation gauntlets for behavior assurance, reliability lifecycle for governed AI workflows</w:t>
      </w:r>
    </w:p>
    <w:p>
      <w:pPr>
        <w:spacing w:after="40"/>
      </w:pPr>
      <w:r>
        <w:rPr>
          <w:b/>
          <w:sz w:val="20"/>
        </w:rPr>
        <w:t xml:space="preserve">Data &amp; Analytics Modernization: </w:t>
      </w:r>
      <w:r>
        <w:rPr>
          <w:sz w:val="20"/>
        </w:rPr>
        <w:t>cloud-native AI data reference architectures, microservices integration for regulated ecosystems, lakehouse modernization for decision intelligence</w:t>
      </w:r>
    </w:p>
    <w:p>
      <w:pPr>
        <w:spacing w:after="40"/>
      </w:pPr>
      <w:r>
        <w:rPr>
          <w:b/>
          <w:sz w:val="20"/>
        </w:rPr>
        <w:t xml:space="preserve">Engineering &amp; Delivery Leadership: </w:t>
      </w:r>
      <w:r>
        <w:rPr>
          <w:sz w:val="20"/>
        </w:rPr>
        <w:t>executive-aligned engineering operating cadences for adoption, cross-functional delivery governance at scale, organization scale-out for platform execution</w:t>
      </w:r>
    </w:p>
    <w:p>
      <w:pPr>
        <w:spacing w:before="200" w:after="60"/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  <w:i w:val="0"/>
          <w:sz w:val="22"/>
        </w:rPr>
        <w:t>Unify Consulting — SVP Engineering, Agentic AI Platforms</w:t>
      </w:r>
    </w:p>
    <w:p>
      <w:pPr>
        <w:spacing w:after="40"/>
      </w:pPr>
      <w:r>
        <w:rPr>
          <w:b w:val="0"/>
          <w:i/>
          <w:sz w:val="18"/>
        </w:rPr>
        <w:t>Boca Raton, FL | Feb 2023 – Present</w:t>
      </w:r>
    </w:p>
    <w:p>
      <w:pPr>
        <w:spacing w:after="80"/>
      </w:pPr>
      <w:r>
        <w:rPr>
          <w:b w:val="0"/>
          <w:i/>
          <w:sz w:val="18"/>
        </w:rPr>
        <w:t>[NOT_GENERATED_BY_RUN: unify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IBM — Partner</w:t>
      </w:r>
    </w:p>
    <w:p>
      <w:pPr>
        <w:spacing w:after="40"/>
      </w:pPr>
      <w:r>
        <w:rPr>
          <w:b w:val="0"/>
          <w:i/>
          <w:sz w:val="18"/>
        </w:rPr>
        <w:t>Edgewater, NJ | Apr 2017 – Oct 2022</w:t>
      </w:r>
    </w:p>
    <w:p>
      <w:pPr>
        <w:spacing w:after="80"/>
      </w:pPr>
      <w:r>
        <w:rPr>
          <w:b w:val="0"/>
          <w:i/>
          <w:sz w:val="18"/>
        </w:rPr>
        <w:t>[NOT_GENERATED_BY_RUN: ibm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InsurTech Cloud Solutions — Chief Technology Officer</w:t>
      </w:r>
    </w:p>
    <w:p>
      <w:pPr>
        <w:spacing w:after="40"/>
      </w:pPr>
      <w:r>
        <w:rPr>
          <w:b w:val="0"/>
          <w:i/>
          <w:sz w:val="18"/>
        </w:rPr>
        <w:t>New York, NY | Apr 2014 – Mar 2017</w:t>
      </w:r>
    </w:p>
    <w:p>
      <w:pPr>
        <w:spacing w:after="80"/>
      </w:pPr>
      <w:r>
        <w:rPr>
          <w:b w:val="0"/>
          <w:i/>
          <w:sz w:val="18"/>
        </w:rPr>
        <w:t>[NOT_GENERATED_BY_RUN: insurtech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Ernst &amp; Young — Principal</w:t>
      </w:r>
    </w:p>
    <w:p>
      <w:pPr>
        <w:spacing w:after="40"/>
      </w:pPr>
      <w:r>
        <w:rPr>
          <w:b w:val="0"/>
          <w:i/>
          <w:sz w:val="18"/>
        </w:rPr>
        <w:t>New York, NY | Oct 2009 – Mar 2014</w:t>
      </w:r>
    </w:p>
    <w:p>
      <w:pPr>
        <w:spacing w:after="80"/>
      </w:pPr>
      <w:r>
        <w:rPr>
          <w:b w:val="0"/>
          <w:i/>
          <w:sz w:val="18"/>
        </w:rPr>
        <w:t>[NOT_GENERATED_BY_RUN: ey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Early Career Roles — Actuarial Consultant and Quantitative Roles</w:t>
      </w:r>
    </w:p>
    <w:p>
      <w:pPr>
        <w:spacing w:after="40"/>
      </w:pPr>
      <w:r>
        <w:rPr>
          <w:b w:val="0"/>
          <w:i/>
          <w:sz w:val="18"/>
        </w:rPr>
        <w:t>Philadelphia, PA | Oct 2002 – Sep 2009</w:t>
      </w:r>
    </w:p>
    <w:p>
      <w:pPr>
        <w:spacing w:after="40"/>
      </w:pPr>
      <w:r>
        <w:rPr>
          <w:b w:val="0"/>
          <w:i w:val="0"/>
          <w:sz w:val="20"/>
        </w:rPr>
        <w:t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>
      <w:pPr>
        <w:spacing w:before="200" w:after="6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b w:val="0"/>
          <w:i w:val="0"/>
          <w:sz w:val="20"/>
        </w:rPr>
        <w:t>Master of Science in Biostatistics, Columbia University (Graduated with Distinction)</w:t>
      </w:r>
    </w:p>
    <w:p>
      <w:pPr>
        <w:spacing w:after="40"/>
      </w:pPr>
      <w:r>
        <w:rPr>
          <w:b w:val="0"/>
          <w:i w:val="0"/>
          <w:sz w:val="20"/>
        </w:rPr>
        <w:t>Bachelor of Arts in Biology, Brown University (Graduated Cum Laude)</w:t>
      </w:r>
    </w:p>
    <w:p>
      <w:pPr>
        <w:spacing w:before="200" w:after="60"/>
      </w:pPr>
      <w:r>
        <w:rPr>
          <w:b/>
          <w:color w:val="1F3A5F"/>
          <w:sz w:val="22"/>
        </w:rPr>
        <w:t>CERTIFICATIONS &amp; CREDENTIALS</w:t>
      </w:r>
    </w:p>
    <w:p>
      <w:pPr>
        <w:spacing w:after="40"/>
      </w:pPr>
      <w:r>
        <w:rPr>
          <w:b w:val="0"/>
          <w:i w:val="0"/>
          <w:sz w:val="20"/>
        </w:rPr>
        <w:t>Certified Machine Learning Engineer – Associate, AWS, 2025</w:t>
      </w:r>
    </w:p>
    <w:p>
      <w:pPr>
        <w:spacing w:after="40"/>
      </w:pPr>
      <w:r>
        <w:rPr>
          <w:b w:val="0"/>
          <w:i w:val="0"/>
          <w:sz w:val="20"/>
        </w:rPr>
        <w:t>Databricks Lakehouse Fundamentals Accreditation, 2023</w:t>
      </w:r>
    </w:p>
    <w:p>
      <w:pPr>
        <w:spacing w:after="40"/>
      </w:pPr>
      <w:r>
        <w:rPr>
          <w:b w:val="0"/>
          <w:i w:val="0"/>
          <w:sz w:val="20"/>
        </w:rPr>
        <w:t>Certified Solutions Architect – Professional, AWS, 2023</w:t>
      </w:r>
    </w:p>
    <w:p>
      <w:pPr>
        <w:spacing w:after="40"/>
      </w:pPr>
      <w:r>
        <w:rPr>
          <w:b w:val="0"/>
          <w:i w:val="0"/>
          <w:sz w:val="20"/>
        </w:rPr>
        <w:t>Fellow of the Society of Actuaries, 2010</w:t>
      </w:r>
    </w:p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