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Amit Ayer</w:t>
      </w:r>
    </w:p>
    <w:p>
      <w:r>
        <w:t xml:space="preserve">+1-917-239-3830 | amitayer1@gmail.com | linkedin.com/in/amitayer1 | github.com/Siamese001/Agentic-Workflow</w:t>
      </w:r>
    </w:p>
    <w:p/>
    <w:p>
      <w:pPr>
        <w:pStyle w:val="Heading1"/>
      </w:pPr>
      <w:r>
        <w:t xml:space="preserve">HEADLINE</w:t>
      </w:r>
    </w:p>
    <w:p>
      <w:r>
        <w:t xml:space="preserve">[NOT COMPLETED: headline — missing_or_empty_headline]</w:t>
      </w:r>
    </w:p>
    <w:p/>
    <w:p>
      <w:pPr>
        <w:pStyle w:val="Heading1"/>
      </w:pPr>
      <w:r>
        <w:t xml:space="preserve">EXECUTIVE SUMMARY</w:t>
      </w:r>
    </w:p>
    <w:p>
      <w:r>
        <w:t xml:space="preserve">Engineering executive leading regulated release engineering and governed agentic AI platform architecture across enterprise delivery environments. The platform's control-plane architecture unifies deterministic route-policy dispatch with multi-agent orchestration contracts and GraphRAG context-pack grounding. From that platform base, automated release pipelines embedded with DevSecOps security scanning drive repeatable deployment blueprints across regulated modernization delivery paths. In parallel, runtime proof-bundle lineage and human override escalation paths keep policy-gated agent execution surfaces auditable and bounded. That governance foundation underwrites platform productization that generated $22M in IP-led revenue while expanding margins and scaling the engineering team. This leadership arc positions continued expansion of governed platform IP into new partner-enabled deployment surfaces while preserving lineage discipline and delivery velocity.</w:t>
      </w:r>
    </w:p>
    <w:p/>
    <w:p>
      <w:pPr>
        <w:pStyle w:val="Heading1"/>
      </w:pPr>
      <w:r>
        <w:t xml:space="preserve">ENGINEERING &amp; PLATFORM COMPETENCIES</w:t>
      </w:r>
    </w:p>
    <w:p>
      <w:r>
        <w:t xml:space="preserve">Cloud &amp; Partner Ecosystems: co-developed AI solution patterns for partners, safe AI partner deployment assurance patterns, Enterprise solution negotiation and quota execution, partner cloud vendor joint gtm, Partner-led AI solution framework for alliance</w:t>
      </w:r>
    </w:p>
    <w:p>
      <w:r>
        <w:t xml:space="preserve">AI Platform Leadership: governed multi-agent orchestration control planes, agentic workflow routing across enterprise systems, policy-bound execution architecture for AI agents, SVP Engineering agentic AI platform control-plane architecture</w:t>
      </w:r>
    </w:p>
    <w:p>
      <w:r>
        <w:t xml:space="preserve">Governance, Risk &amp; Compliance: fail-closed runtime control gate design, policy enforcement across agent execution paths, sandboxed decision workflows with audit trails, Regulated DevSecOps release governance pipelines</w:t>
      </w:r>
    </w:p>
    <w:p>
      <w:r>
        <w:t xml:space="preserve">Technology Strategy &amp; Innovation: GraphRAG context grounding for enterprise workflows, dense-sparse retrieval with relationship-aware ranking, authority-ordered prompt context assembly pipelines</w:t>
      </w:r>
    </w:p>
    <w:p>
      <w:r>
        <w:t xml:space="preserve">Commercial &amp; Operating Impact: demoable AI accelerators for executive buyers, reusable platform IP commercialization motions, evaluation-ready delivery from prototype to adoption, Enterprise technical pre-sales architecture mapping</w:t>
      </w:r>
    </w:p>
    <w:p>
      <w:r>
        <w:t xml:space="preserve">LLMOps &amp; Reliability: audit-grade telemetry for agentic systems, evaluation gauntlets for behavior assurance, reliability lifecycle for governed AI workflows</w:t>
      </w:r>
    </w:p>
    <w:p>
      <w:r>
        <w:t xml:space="preserve">Data &amp; Analytics Modernization: cloud-native AI data reference architectures, microservices integration for regulated ecosystems, lakehouse modernization for decision intelligence</w:t>
      </w:r>
    </w:p>
    <w:p>
      <w:r>
        <w:t xml:space="preserve">Engineering &amp; Delivery Leadership: executive-aligned engineering operating cadences for adoption, cross-functional delivery governance at scale, organization scale-out for platform operating model, Customer success and value-realization operating cadence</w:t>
      </w:r>
    </w:p>
    <w:p/>
    <w:p>
      <w:pPr>
        <w:pStyle w:val="Heading1"/>
      </w:pPr>
      <w:r>
        <w:t xml:space="preserve">PROFESSIONAL EXPERIENCE</w:t>
      </w:r>
    </w:p>
    <w:p/>
    <w:p>
      <w:r>
        <w:t xml:space="preserve">Unify Consulting — SVP Engineering, Agentic AI Platforms</w:t>
      </w:r>
    </w:p>
    <w:p>
      <w:r>
        <w:t xml:space="preserve">Boca Raton, FL | Feb 2023 – Present</w:t>
      </w:r>
    </w:p>
    <w:p>
      <w:r>
        <w:t xml:space="preserve">• Directed control-plane architecture for a production agentic AI platform, establishing a policy-gated agent execution surface for governed enterprise AI workflows across multi-agent orchestration contracts and L0 route-policy dispatch.</w:t>
      </w:r>
    </w:p>
    <w:p>
      <w:r>
        <w:t xml:space="preserve">• Drove CFO-aligned enterprise adoption motions tied to reusable AI platform commercialization by aligning generative-AI workflows and consumption-based licensing to executive revenue priorities.</w:t>
      </w:r>
    </w:p>
    <w:p>
      <w:r>
        <w:t xml:space="preserve">• Delivered audit-grade runtime observability coverage for regulated AI workflows through evaluation gates, telemetry instrumentation, and rollback controls governing production agentic execution.</w:t>
      </w:r>
    </w:p>
    <w:p>
      <w:r>
        <w:t xml:space="preserve">• Standardized the AI systems lifecycle from intake through production monitoring, compressing the AI systems lifecycle from six months to three weeks for client deployments.</w:t>
      </w:r>
    </w:p>
    <w:p>
      <w:r>
        <w:t xml:space="preserve">• Architected distributed cloud and data execution infrastructure on AWS and Databricks Lakehouse, establishing high-availability distributed service patterns for enterprise AI platforms.</w:t>
      </w:r>
    </w:p>
    <w:p>
      <w:r>
        <w:t xml:space="preserve">• Converted bespoke delivery into reusable platform IP while scaling the engineering team from 8 to 28, advancing agentic platform productization and an operating model for agentic AI.</w:t>
      </w:r>
    </w:p>
    <w:p/>
    <w:p>
      <w:r>
        <w:t xml:space="preserve">IBM — Partner</w:t>
      </w:r>
    </w:p>
    <w:p>
      <w:r>
        <w:t xml:space="preserve">Edgewater, NJ | Apr 2017 – Oct 2022</w:t>
      </w:r>
    </w:p>
    <w:p>
      <w:r>
        <w:t xml:space="preserve">• Led IBM-AWS alliance co-sell motions for financial-services modernization opportunities, delivering 20% joint revenue growth.</w:t>
      </w:r>
    </w:p>
    <w:p>
      <w:r>
        <w:t xml:space="preserve">• Built decision-support data models and BI views that connected modernization programs to executive operating decisions</w:t>
      </w:r>
    </w:p>
    <w:p>
      <w:r>
        <w:t xml:space="preserve">• Led technical discovery and solution mapping for enterprise financial-services pursuits</w:t>
      </w:r>
    </w:p>
    <w:p>
      <w:r>
        <w:t xml:space="preserve">• Owned quota-aligned solution leadership across enterprise pursuits and client portfolio expansion motions</w:t>
      </w:r>
    </w:p>
    <w:p>
      <w:r>
        <w:t xml:space="preserve">• Architected industry-specific AI, analytics, and cloud modernization reference architectures for financial-services decision support.</w:t>
      </w:r>
    </w:p>
    <w:p/>
    <w:p>
      <w:r>
        <w:t xml:space="preserve">InsurTech Cloud Solutions — Chief Technology Officer</w:t>
      </w:r>
    </w:p>
    <w:p>
      <w:r>
        <w:t xml:space="preserve">New York, NY | Apr 2014 – Mar 2017</w:t>
      </w:r>
    </w:p>
    <w:p>
      <w:r>
        <w:t xml:space="preserve">Led AWS modernization execution for monolithic policy administration and insurance platform workloads.</w:t>
      </w:r>
    </w:p>
    <w:p>
      <w:r>
        <w:t xml:space="preserve">• Implemented SOC 2-aligned AWS controls for regulated insurers adopting analytics and ML.</w:t>
      </w:r>
    </w:p>
    <w:p>
      <w:r>
        <w:t xml:space="preserve">• Built safety operating-model framing around AWS shared responsibility and insurer-owned controls.</w:t>
      </w:r>
    </w:p>
    <w:p>
      <w:r>
        <w:t xml:space="preserve">• Led AWS modernization execution for monolithic policy administration and insurance platform workloads.</w:t>
      </w:r>
    </w:p>
    <w:p/>
    <w:p>
      <w:r>
        <w:t xml:space="preserve">Ernst &amp; Young — Principal</w:t>
      </w:r>
    </w:p>
    <w:p>
      <w:r>
        <w:t xml:space="preserve">New York, NY | Oct 2009 – Mar 2014</w:t>
      </w:r>
    </w:p>
    <w:p>
      <w:r>
        <w:t xml:space="preserve">Led quantitative derivatives, variable-annuity hedging, and insurance-capital work using exotic pricing, liability Greeks, higher-order stress testing, and hedge design.</w:t>
      </w:r>
    </w:p>
    <w:p>
      <w:r>
        <w:t xml:space="preserve">• Led quantitative derivatives, variable-annuity hedging, and insurance-capital work using exotic pricing, liability Greeks, higher-order stress testing, and hedge design.</w:t>
      </w:r>
    </w:p>
    <w:p>
      <w:r>
        <w:t xml:space="preserve">• Led CCAR-era capital, liquidity, stress testing, and model-validation work by structuring traceable scenarios, challenger variants, model-risk remediation, and governance evidence for regulated financial institutions.</w:t>
      </w:r>
    </w:p>
    <w:p>
      <w:r>
        <w:t xml:space="preserve">• Architected ERM operating models and BCBS 239-aligned risk-data aggregation by defining three-lines-of-defense accountability, metadata standards, and auditable risk metrics.</w:t>
      </w:r>
    </w:p>
    <w:p/>
    <w:p>
      <w:r>
        <w:t xml:space="preserve">Early Career Roles — Actuarial Consultant and Quantitative Roles</w:t>
      </w:r>
    </w:p>
    <w:p>
      <w:r>
        <w:t xml:space="preserve">Philadelphia, PA | Oct 2002 – Sep 2009</w:t>
      </w:r>
    </w:p>
    <w:p>
      <w:r>
        <w:t xml:space="preserve">• Actuarial &amp; Quantitative Foundation: As a Fellow of the Society of Actuaries (FSA), priced exotic derivatives and structured multi-Greek hedging strategies, built stochastic capital models, and supported HPC-based valuation frameworks for scenario testing and capital adequacy — the quantitative rigor and risk discipline that now underpin my work in AI platform architecture and runtime governance.</w:t>
      </w:r>
    </w:p>
    <w:p/>
    <w:p>
      <w:pPr>
        <w:pStyle w:val="Heading1"/>
      </w:pPr>
      <w:r>
        <w:t xml:space="preserve">EDUCATION</w:t>
      </w:r>
    </w:p>
    <w:p>
      <w:r>
        <w:t xml:space="preserve">Master of Science in Biostatistics, Columbia University (Graduated with Distinction)</w:t>
      </w:r>
    </w:p>
    <w:p>
      <w:r>
        <w:t xml:space="preserve">Bachelor of Arts in Biology, Brown University (Graduated Cum Laude)</w:t>
      </w:r>
    </w:p>
    <w:p/>
    <w:p>
      <w:pPr>
        <w:pStyle w:val="Heading1"/>
      </w:pPr>
      <w:r>
        <w:t xml:space="preserve">CERTIFICATIONS &amp; CREDENTIALS</w:t>
      </w:r>
    </w:p>
    <w:p>
      <w:r>
        <w:t xml:space="preserve">Certified Machine Learning Engineer – Associate, AWS, 2025</w:t>
      </w:r>
    </w:p>
    <w:p>
      <w:r>
        <w:t xml:space="preserve">Databricks Lakehouse Fundamentals Accreditation, 2023</w:t>
      </w:r>
    </w:p>
    <w:p>
      <w:r>
        <w:t xml:space="preserve">Certified Solutions Architect – Professional, AWS, 2023</w:t>
      </w:r>
    </w:p>
    <w:p>
      <w:r>
        <w:t xml:space="preserve">Fellow of the Society of Actuaries, 2010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  <w:szCs w:val="20"/>
      </w:rPr>
    </w:rPrDefault>
    <w:pPrDefault>
      <w:pPr>
        <w:spacing w:after="8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80"/>
    </w:pPr>
    <w:rPr>
      <w:b/>
      <w:sz w:val="36"/>
      <w:szCs w:val="36"/>
    </w:rPr>
  </w:style>
  <w:style w:type="paragraph" w:styleId="Heading1">
    <w:name w:val="heading 1"/>
    <w:basedOn w:val="Normal"/>
    <w:pPr>
      <w:keepNext/>
      <w:spacing w:before="180" w:after="60"/>
    </w:pPr>
    <w:rPr>
      <w:b/>
      <w:color w:val="1F3A5F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