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[NOT COMPLETED: headline — missing_or_empty_headline]</w:t>
      </w:r>
    </w:p>
    <w:p/>
    <w:p>
      <w:pPr>
        <w:pStyle w:val="Heading1"/>
      </w:pPr>
      <w:r>
        <w:t xml:space="preserve">EXECUTIVE SUMMARY</w:t>
      </w:r>
    </w:p>
    <w:p>
      <w:r>
        <w:t xml:space="preserve">Engineering executive builds governed agentic AI platform architecture for regulated enterprise delivery environments. The platform enforces policy-gated route dispatch and sandboxed tool execution so autonomous agent behavior stays bounded and auditable. Dependency graph intelligence enables accelerated legacy-system analysis, giving modernization teams faster visibility into complex system dependencies. That operating foundation also embeds release automation and security scanning directly into regulated delivery pipelines, reducing risk without slowing deployment velocity. Platform productization and IP-led revenue leadership generated $22M in IP-led revenue while scaling the engineering team and expanding margins. That combination of platform architecture ownership and commercial delivery positions this operating model to guide applied AI partner architecture and ecosystem-scale technical leadership going forward.</w:t>
      </w:r>
    </w:p>
    <w:p/>
    <w:p>
      <w:pPr>
        <w:pStyle w:val="Heading1"/>
      </w:pPr>
      <w:r>
        <w:t xml:space="preserve">ENGINEERING &amp; PLATFORM COMPETENCIES</w:t>
      </w:r>
    </w:p>
    <w:p>
      <w:r>
        <w:t xml:space="preserve">Cloud &amp; Partner Ecosystems: co-developed AI solution patterns for partners, safe AI partner deployment assurance patterns, Enterprise solution negotiation and quota execution, partner cloud vendor joint gtm, Partner-led AI solution framework for alliance</w:t>
      </w:r>
    </w:p>
    <w:p>
      <w:r>
        <w:t xml:space="preserve">AI Platform Leadership: governed multi-agent orchestration control planes, agentic workflow routing across enterprise systems, policy-bound execution architecture for AI agents, SVP Engineering agentic AI platform control-plane architecture</w:t>
      </w:r>
    </w:p>
    <w:p>
      <w:r>
        <w:t xml:space="preserve">Governance, Risk &amp; Compliance: fail-closed runtime control gate design, policy enforcement across agent execution paths,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platform IP commercialization motions, evaluation-ready delivery from prototype to adoption, Enterprise technical pre-sales architecture mapping</w:t>
      </w:r>
    </w:p>
    <w:p>
      <w:r>
        <w:t xml:space="preserve">LLMOps &amp; Reliability: audit-grade telemetry for agentic systems, evaluation gauntlets for behavior assurance, reliability lifecycle for governed AI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engineering operating cadences for adoption, cross-functional delivery governance at scale, organization scale-out for platform operating model, Customer success and value-realization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linking control-plane architecture and a productized operating model with reusable IP, commercial pathways, and dependable deployment for durable adoption across complex regulated enterprise environments.</w:t>
      </w:r>
    </w:p>
    <w:p>
      <w:r>
        <w:t xml:space="preserve">• Architected the governed control plane for Unify's agentic AI platform, establishing a policy-gated agent execution surface for governed enterprise AI workflows across multi-agent orchestration contracts and audit-manifest lineage.</w:t>
      </w:r>
    </w:p>
    <w:p>
      <w:r>
        <w:t xml:space="preserve">• Directed CFO-aligned enterprise adoption motions tied to reusable AI platform commercialization, pairing partner deal support with usage-based subscription forecasting to expand recurring revenue.</w:t>
      </w:r>
    </w:p>
    <w:p>
      <w:r>
        <w:t xml:space="preserve">• Built audit-grade runtime observability coverage for regulated AI workflows by instituting evaluation gates, telemetry, and rollback controls across production agentic services.</w:t>
      </w:r>
    </w:p>
    <w:p>
      <w:r>
        <w:t xml:space="preserve">• Standardized the production adoption lifecycle for client AI systems, compressing delivery from six months to three weeks through managed workflow orchestration and replayable runtime design.</w:t>
      </w:r>
    </w:p>
    <w:p>
      <w:r>
        <w:t xml:space="preserve">• Engineered high-availability distributed service patterns for enterprise AI platforms atop Databricks Lakehouse and dense-sparse retrieval, sustaining resilient agentic workloads at scale.</w:t>
      </w:r>
    </w:p>
    <w:p>
      <w:r>
        <w:t xml:space="preserve">• Commercialized reusable platform IP while scaling the engineering team from 8 to 28, advancing an operating model for agentic AI productization across enterprise lines of business.</w:t>
      </w:r>
    </w:p>
    <w:p/>
    <w:p>
      <w:r>
        <w:t xml:space="preserve">IBM — Partner</w:t>
      </w:r>
    </w:p>
    <w:p>
      <w:r>
        <w:t xml:space="preserve">Edgewater, NJ | Apr 2017 – Oct 2022</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mapping for enterprise financial-services pursuits</w:t>
      </w:r>
    </w:p>
    <w:p>
      <w:r>
        <w:t xml:space="preserve">• Owned quota-aligned solution leadership across enterprise pursuits and client portfolio expansion motions</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r>
        <w:t xml:space="preserve">• Led AWS modernization execution for monolithic policy administration and insurance platform workloads.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